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56" w:rsidRPr="00DE1256" w:rsidRDefault="00DE1256" w:rsidP="00DE12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ЗВІТ</w:t>
      </w:r>
    </w:p>
    <w:p w:rsidR="00DE1256" w:rsidRPr="00DE1256" w:rsidRDefault="00DE1256" w:rsidP="00DE12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про повторне</w:t>
      </w: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відстеження</w:t>
      </w: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результативності</w:t>
      </w: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розпорядження</w:t>
      </w: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Вінницької обласної державної адміністрації  від 06 листопада 2017 року № 772  «Про внесення</w:t>
      </w: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змін</w:t>
      </w: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333333"/>
          <w:sz w:val="21"/>
          <w:szCs w:val="21"/>
          <w:lang w:eastAsia="uk-UA"/>
        </w:rPr>
        <w:t>до розпорядження голови облдержадміністрації від 18 грудня  2009 року № 568»</w:t>
      </w:r>
    </w:p>
    <w:p w:rsidR="00DE1256" w:rsidRPr="00DE1256" w:rsidRDefault="00DE1256" w:rsidP="00DE12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1. Вид та назва регуляторного </w:t>
      </w:r>
      <w:proofErr w:type="spellStart"/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акта</w:t>
      </w:r>
      <w:proofErr w:type="spellEnd"/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Розпорядження Вінницької обласної державної адміністрації  від  06 листопада  2017 року №  772 ,  зареєстрованого в Головному територіальному управлінні юстиції у Вінницькій області 27 листопада  2017 року за  № 124/1462, «Про внесення змін до розпорядження голови облдержадміністрації від 18 грудня  2009 року №  568».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2. Назва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виконавця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заходів з відстеження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результативності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Комунальне  некомерційне підприємство «Вінницька міська лікарня» «Центр матері та дитини».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3. Цілі прийняття </w:t>
      </w:r>
      <w:proofErr w:type="spellStart"/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акта</w:t>
      </w:r>
      <w:proofErr w:type="spellEnd"/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Метою прийняття розпорядження Вінницької обласної державної адміністрації від 06 листопада 2017 року № 772 «Про внесення змін до розпорядження голови облдержадміністрації  від 18  грудня 2009 року №  568»  є використання повноважень, наданих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за переліком затвердженим постановою Кабінету Міністрів України від 17 вересня 1996 року № 1138, встановлення тарифів на економічно обґрунтованому рівні для  забезпечення прозорості при проведенні розрахунків за надані платні послуги КНП «ВМКЛ «Центр матері та дитини».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4. Строк виконання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заходів з відстеження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 06.11.2017 року  по 06.11.2018 року.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5. Тип відстеження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повторне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6. Методи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одержання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результатів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відстеження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Статистичний метод.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7. Дані та припущення, на основі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яких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було проведено відстеження результативності, а </w:t>
      </w:r>
      <w:proofErr w:type="spellStart"/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такожспособи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одержання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даних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Відстеження результативності цього регуляторного </w:t>
      </w:r>
      <w:proofErr w:type="spellStart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здійснювалось шляхом аналізу статистичної </w:t>
      </w:r>
      <w:proofErr w:type="spellStart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нформації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КНП  «ВМКЛ  «Центр матері  та  дитини»  за показниками:</w:t>
      </w:r>
    </w:p>
    <w:p w:rsidR="00DE1256" w:rsidRPr="00DE1256" w:rsidRDefault="00DE1256" w:rsidP="00DE1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кількість суб’єктів господарювання за договорами, яким були надані послуги;</w:t>
      </w:r>
    </w:p>
    <w:p w:rsidR="00DE1256" w:rsidRPr="00DE1256" w:rsidRDefault="00DE1256" w:rsidP="00DE1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кількість фізичних осіб, яким були надані послуги;</w:t>
      </w:r>
    </w:p>
    <w:p w:rsidR="00DE1256" w:rsidRPr="00DE1256" w:rsidRDefault="00DE1256" w:rsidP="00DE1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кількість коштів, які отримано закладом  охорони здоров’я від надання платних послуг.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8. Кількісні та якісні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значення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показників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результативності </w:t>
      </w:r>
      <w:proofErr w:type="spellStart"/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 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Показниками результативності даного регуляторного </w:t>
      </w:r>
      <w:proofErr w:type="spellStart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є :</w:t>
      </w:r>
    </w:p>
    <w:p w:rsidR="00DE1256" w:rsidRPr="00DE1256" w:rsidRDefault="00DE1256" w:rsidP="00DE1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кількість суб’єктів господарювання за договорами, яким були надані послуги – 15;</w:t>
      </w:r>
    </w:p>
    <w:p w:rsidR="00DE1256" w:rsidRPr="00DE1256" w:rsidRDefault="00DE1256" w:rsidP="00DE1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кількість фізичних осіб, яким були надані послуги  – 430;</w:t>
      </w:r>
    </w:p>
    <w:p w:rsidR="00DE1256" w:rsidRPr="00DE1256" w:rsidRDefault="00DE1256" w:rsidP="00DE1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 xml:space="preserve">кількість коштів, які отримано закладом охорони здоров’я від надання платних послуг – 43,4 </w:t>
      </w:r>
      <w:proofErr w:type="spellStart"/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тис.грн</w:t>
      </w:r>
      <w:proofErr w:type="spellEnd"/>
      <w:r w:rsidRPr="00DE1256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Виконання вимог </w:t>
      </w:r>
      <w:proofErr w:type="spellStart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не потребувало від суб’єктів господарювання та фізичних осіб, на яких поширюється його дія додаткових витрат.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9. Оцінка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результатів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реалізації </w:t>
      </w:r>
      <w:proofErr w:type="spellStart"/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 та ступеня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досягнення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визначення</w:t>
      </w: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цілей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Реалізація регуляторного </w:t>
      </w:r>
      <w:proofErr w:type="spellStart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запровадила систему регулювання тарифів на платні послуги, посилила дієвість та прозорість проведення розрахунків за надані платні послуги,  перелік яких визначено Постановою Кабінету Міністрів України від 17 вересня 1996 року № 1138, а також нормативно-правовий акт було приведено у відповідність до вимог законодавства.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Ступінь досягнення визначених цілей є високим, оскільки в зазначеному розпорядженні було досягнуто цілі прийняття </w:t>
      </w:r>
      <w:proofErr w:type="spellStart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приведено його у відповідність до Постанови Кабінету Міністрів України від 25 грудня 1996 року № 1548.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Повторне відстеження результативності регуляторного </w:t>
      </w:r>
      <w:proofErr w:type="spellStart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показує, що за результатами його прийняття отримано певні позитивні соціально-економічні наслідки, що свідчать про доцільність та ефективність прийняття розпорядження «Про внесення змін до розпорядження голови облдержадміністрації  від 18  грудня 2009 року №  568».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Контроль за виконанням вимог регуляторного </w:t>
      </w:r>
      <w:proofErr w:type="spellStart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акта</w:t>
      </w:r>
      <w:proofErr w:type="spellEnd"/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покладено на Департамент охорони здоров’я Вінницької обласної державної адміністрації.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</w:p>
    <w:p w:rsidR="00DE1256" w:rsidRPr="00DE1256" w:rsidRDefault="00DE1256" w:rsidP="00DE12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Заступник Директора Департаменту                                      </w:t>
      </w:r>
    </w:p>
    <w:p w:rsidR="00DE1256" w:rsidRPr="00DE1256" w:rsidRDefault="00DE1256" w:rsidP="00DE125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DE1256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О.С.Житанська</w:t>
      </w:r>
      <w:proofErr w:type="spellEnd"/>
    </w:p>
    <w:p w:rsidR="00556E11" w:rsidRDefault="00556E11">
      <w:bookmarkStart w:id="0" w:name="_GoBack"/>
      <w:bookmarkEnd w:id="0"/>
    </w:p>
    <w:sectPr w:rsidR="00556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EAB"/>
    <w:multiLevelType w:val="multilevel"/>
    <w:tmpl w:val="319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523E5"/>
    <w:multiLevelType w:val="multilevel"/>
    <w:tmpl w:val="5C70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75"/>
    <w:rsid w:val="00377375"/>
    <w:rsid w:val="00556E11"/>
    <w:rsid w:val="00D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B544E-7791-4248-A5AA-34E03AC7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256"/>
    <w:rPr>
      <w:b/>
      <w:bCs/>
    </w:rPr>
  </w:style>
  <w:style w:type="paragraph" w:styleId="a4">
    <w:name w:val="Normal (Web)"/>
    <w:basedOn w:val="a"/>
    <w:uiPriority w:val="99"/>
    <w:semiHidden/>
    <w:unhideWhenUsed/>
    <w:rsid w:val="00DE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2439</Words>
  <Characters>1391</Characters>
  <Application>Microsoft Office Word</Application>
  <DocSecurity>0</DocSecurity>
  <Lines>11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Франчук Галина Іванівна</dc:creator>
  <cp:keywords/>
  <dc:description/>
  <cp:lastModifiedBy>Франчук Галина Іванівна</cp:lastModifiedBy>
  <cp:revision>2</cp:revision>
  <dcterms:created xsi:type="dcterms:W3CDTF">2018-12-13T07:26:00Z</dcterms:created>
  <dcterms:modified xsi:type="dcterms:W3CDTF">2018-12-13T07:26:00Z</dcterms:modified>
</cp:coreProperties>
</file>