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B4" w:rsidRPr="00FC2EB4" w:rsidRDefault="00FC2EB4" w:rsidP="00FC2EB4">
      <w:pPr>
        <w:jc w:val="right"/>
        <w:rPr>
          <w:rFonts w:ascii="Times New Roman" w:hAnsi="Times New Roman" w:cs="Times New Roman"/>
          <w:sz w:val="28"/>
          <w:szCs w:val="28"/>
        </w:rPr>
      </w:pPr>
      <w:r w:rsidRPr="00FC2EB4">
        <w:rPr>
          <w:rFonts w:ascii="Times New Roman" w:hAnsi="Times New Roman" w:cs="Times New Roman"/>
          <w:sz w:val="28"/>
          <w:szCs w:val="28"/>
        </w:rPr>
        <w:t>Проект</w:t>
      </w:r>
    </w:p>
    <w:p w:rsidR="00B42F07" w:rsidRPr="00A67F90" w:rsidRDefault="00FC2EB4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90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FC2EB4" w:rsidRDefault="00FC2EB4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90">
        <w:rPr>
          <w:rFonts w:ascii="Times New Roman" w:hAnsi="Times New Roman" w:cs="Times New Roman"/>
          <w:b/>
          <w:sz w:val="28"/>
          <w:szCs w:val="28"/>
        </w:rPr>
        <w:t>Індекс безбар’єрності територіальної громади</w:t>
      </w:r>
    </w:p>
    <w:p w:rsidR="00D82CF6" w:rsidRPr="00214B83" w:rsidRDefault="00214B83" w:rsidP="00FC2E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Тульчинська міська територіальна громада</w:t>
      </w:r>
    </w:p>
    <w:p w:rsidR="00A67F90" w:rsidRPr="000138C6" w:rsidRDefault="00D82CF6" w:rsidP="00B20385">
      <w:pPr>
        <w:jc w:val="center"/>
        <w:rPr>
          <w:rFonts w:ascii="Times New Roman" w:hAnsi="Times New Roman" w:cs="Times New Roman"/>
          <w:sz w:val="20"/>
          <w:szCs w:val="20"/>
        </w:rPr>
      </w:pPr>
      <w:r w:rsidRPr="000138C6">
        <w:rPr>
          <w:rFonts w:ascii="Times New Roman" w:hAnsi="Times New Roman" w:cs="Times New Roman"/>
          <w:sz w:val="20"/>
          <w:szCs w:val="20"/>
        </w:rPr>
        <w:t>(назва територіальної громади, область</w:t>
      </w:r>
      <w:r w:rsidR="000138C6">
        <w:rPr>
          <w:rFonts w:ascii="Times New Roman" w:hAnsi="Times New Roman" w:cs="Times New Roman"/>
          <w:sz w:val="20"/>
          <w:szCs w:val="20"/>
        </w:rPr>
        <w:t xml:space="preserve">/м. </w:t>
      </w:r>
      <w:r w:rsidR="00214B83">
        <w:rPr>
          <w:rFonts w:ascii="Times New Roman" w:hAnsi="Times New Roman" w:cs="Times New Roman"/>
          <w:sz w:val="20"/>
          <w:szCs w:val="20"/>
        </w:rPr>
        <w:t>Вінниця</w:t>
      </w:r>
      <w:r w:rsidRPr="000138C6">
        <w:rPr>
          <w:rFonts w:ascii="Times New Roman" w:hAnsi="Times New Roman" w:cs="Times New Roman"/>
          <w:sz w:val="20"/>
          <w:szCs w:val="20"/>
        </w:rPr>
        <w:t>)</w:t>
      </w:r>
    </w:p>
    <w:p w:rsidR="00B20385" w:rsidRPr="00A67F90" w:rsidRDefault="00B20385" w:rsidP="00B2038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7F90">
        <w:rPr>
          <w:rFonts w:ascii="Times New Roman" w:hAnsi="Times New Roman" w:cs="Times New Roman"/>
          <w:i/>
          <w:sz w:val="24"/>
          <w:szCs w:val="24"/>
        </w:rPr>
        <w:t xml:space="preserve">Шановні представники </w:t>
      </w:r>
      <w:r w:rsidR="00A67F90">
        <w:rPr>
          <w:rFonts w:ascii="Times New Roman" w:hAnsi="Times New Roman" w:cs="Times New Roman"/>
          <w:i/>
          <w:sz w:val="24"/>
          <w:szCs w:val="24"/>
        </w:rPr>
        <w:t xml:space="preserve">територіальної </w:t>
      </w:r>
      <w:r w:rsidRPr="00A67F90">
        <w:rPr>
          <w:rFonts w:ascii="Times New Roman" w:hAnsi="Times New Roman" w:cs="Times New Roman"/>
          <w:i/>
          <w:sz w:val="24"/>
          <w:szCs w:val="24"/>
        </w:rPr>
        <w:t>громади!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 xml:space="preserve">З метою встановлення рівня доступності у вашій громаді просимо вас надати відповідь на наведені нижче запитання. 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>Звертаємо вашу увагу, що запитання сформульовані у вигляді тез, які вам потрібно: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>1) або оцінити</w:t>
      </w:r>
      <w:r w:rsidR="00402B0B">
        <w:rPr>
          <w:rFonts w:ascii="Times New Roman" w:hAnsi="Times New Roman" w:cs="Times New Roman"/>
          <w:sz w:val="24"/>
          <w:szCs w:val="24"/>
        </w:rPr>
        <w:t xml:space="preserve"> та обрати із запропонованих</w:t>
      </w:r>
      <w:r w:rsidR="003B7B00">
        <w:rPr>
          <w:rFonts w:ascii="Times New Roman" w:hAnsi="Times New Roman" w:cs="Times New Roman"/>
          <w:sz w:val="24"/>
          <w:szCs w:val="24"/>
        </w:rPr>
        <w:t xml:space="preserve"> варіантів</w:t>
      </w:r>
      <w:r w:rsidR="00402B0B">
        <w:rPr>
          <w:rFonts w:ascii="Times New Roman" w:hAnsi="Times New Roman" w:cs="Times New Roman"/>
          <w:sz w:val="24"/>
          <w:szCs w:val="24"/>
        </w:rPr>
        <w:t xml:space="preserve"> рівень</w:t>
      </w:r>
      <w:r w:rsidR="00402B0B" w:rsidRPr="00A67F90">
        <w:rPr>
          <w:rFonts w:ascii="Times New Roman" w:hAnsi="Times New Roman" w:cs="Times New Roman"/>
          <w:sz w:val="24"/>
          <w:szCs w:val="24"/>
        </w:rPr>
        <w:t xml:space="preserve">, який найбільше відповідає реальній ситуації у громаді </w:t>
      </w:r>
      <w:r w:rsidRPr="00A67F90">
        <w:rPr>
          <w:rFonts w:ascii="Times New Roman" w:hAnsi="Times New Roman" w:cs="Times New Roman"/>
          <w:sz w:val="24"/>
          <w:szCs w:val="24"/>
        </w:rPr>
        <w:t>(кожен рівень описано орієнтовн</w:t>
      </w:r>
      <w:r w:rsidR="00402B0B">
        <w:rPr>
          <w:rFonts w:ascii="Times New Roman" w:hAnsi="Times New Roman" w:cs="Times New Roman"/>
          <w:sz w:val="24"/>
          <w:szCs w:val="24"/>
        </w:rPr>
        <w:t>ими альтернативними варіантами;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 xml:space="preserve">2) або погодитися чи спростувати відповідну тезу (надати відповідь “так” або “ні”). </w:t>
      </w:r>
    </w:p>
    <w:p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>Також звертаємо вашу увагу, що після кожного питання знаходиться примітка про документальне підтвердження щодо його змісту. Ви надаєте посилання на таку інформацію, за умови її наяності. Якщо інформамація відсутня - залишаєте поле пустим. Адже набільш точно обрати той чи інший рівень ви зможете лише у випадку, коли будете володіти необхідною інформацією, яку можна отримати із різних джерел за вашим вибором (звіти, результати опитування в громаді тощо)</w:t>
      </w:r>
    </w:p>
    <w:p w:rsidR="00B20385" w:rsidRPr="00FC2EB4" w:rsidRDefault="00B20385" w:rsidP="00FC2EB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062"/>
      </w:tblGrid>
      <w:tr w:rsidR="00FC2EB4" w:rsidRPr="00FC2EB4" w:rsidTr="00F50873">
        <w:trPr>
          <w:trHeight w:val="360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Фізична доступність просторів, адміністративних будівель та транспорту</w:t>
            </w:r>
          </w:p>
        </w:tc>
      </w:tr>
      <w:tr w:rsidR="00FC2EB4" w:rsidRPr="00FC2EB4" w:rsidTr="00D977A6">
        <w:trPr>
          <w:trHeight w:val="1080"/>
        </w:trPr>
        <w:tc>
          <w:tcPr>
            <w:tcW w:w="704" w:type="dxa"/>
            <w:vMerge w:val="restart"/>
            <w:noWrap/>
            <w:hideMark/>
          </w:tcPr>
          <w:p w:rsidR="00FC2EB4" w:rsidRPr="00B20385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20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проводиться моніторинг бар'єрів у публічному просторі (будівлі, тротуари, зупинки тощо).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</w:p>
        </w:tc>
      </w:tr>
      <w:tr w:rsidR="00FC2EB4" w:rsidRPr="00FC2EB4" w:rsidTr="00214B83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214B83">
            <w:pPr>
              <w:tabs>
                <w:tab w:val="left" w:pos="196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r w:rsid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214B83" w:rsidRDefault="00214B83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7" w:history="1">
              <w:r w:rsidRPr="001C2064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https://lun.ua/misto/barrier-free/mindev-2025?l=3ffffe#12.87/48.67322/28.8722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EB4" w:rsidRPr="00FC2EB4" w:rsidTr="00D977A6">
        <w:trPr>
          <w:trHeight w:val="97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402B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Громадський тра</w:t>
            </w:r>
            <w:r w:rsidR="004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спорт доступний для людей з порушеннями функціонування та інших маломобільних груп населення.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71605E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auto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транспорт не пристосований для потреб маломобільних груп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відсутні будь-які пристосування (пандуси, низька підлога, фіксатори крісел колісних тощо)</w:t>
            </w:r>
          </w:p>
        </w:tc>
      </w:tr>
      <w:tr w:rsidR="00FC2EB4" w:rsidRPr="00FC2EB4" w:rsidTr="0071605E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пристосовані лише окремі одиниці транспорту (менше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доступність носить фрагментарний характер (наприклад, на маршруті лише 1-2 автобуси мають фіксатори для крісел колісних та низьку підлогу)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відповідні адаптації в переважній більшості несправні, застарілі або незручні для використання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Нижче середнього рівень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25–50% транспорту має базові пристосування (також, наприклад, доступний транспорт є на окремих маршрутах або в певні години, але без охоплення більшості)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відсутній системний підхід до забезпечення доступності транспорту та оновлення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пристосування досить часто несправні, застарілі або незручні для використання</w:t>
            </w:r>
          </w:p>
        </w:tc>
      </w:tr>
      <w:tr w:rsidR="00FC2EB4" w:rsidRPr="00FC2EB4" w:rsidTr="00D977A6">
        <w:trPr>
          <w:trHeight w:val="698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половину (понад 50%) транспортних засобів базово пристосовано для маломобільних осіб (наприклад, 6 із 10 автобусів мають пандуси, кнопки виклику водія, місця для крісел колісних)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є системний підхід до оновлення та використання доступного транспорту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деякі адаптації можуть бути несправні, застарілі або незручні для використання</w:t>
            </w:r>
          </w:p>
        </w:tc>
      </w:tr>
      <w:tr w:rsidR="00FC2EB4" w:rsidRPr="00FC2EB4" w:rsidTr="00D977A6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 середнього рівня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більшість транспорту (понад 75%) має комплексне обладнання для маломобільних груп (наприклад, 9 із 10 автобусів мають пандуси, кнопки виклику водія, місця для крісел колісних; (пандуси, низька підлога, фіксатори крісел колісних, аудіо/візуальна навігація тощо)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є системний підхід до забезпечення доступності транспорту та оновлення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окремі пристосування можуть мати незначні пошкодження, однак громада забезпечує їх оперативне виявлення, ремонт або заміну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увесь (100%) транспорт на маршруті або в мережі відповідає вимогам доступності (наприклад, усі 10 з 10 автобусів мають комплексні пристосування)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забезпечено системну та стійку доступність на рівні інфраструктури, навчання водіїв та технічного обслуговування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випадки пошкодшень, несправностей або зношення фіксуються та усуваються без затримки згідно з визначеними стандартами обслуговування.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062" w:type="dxa"/>
            <w:hideMark/>
          </w:tcPr>
          <w:p w:rsidR="00FC2EB4" w:rsidRPr="00ED13A2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 (за наявності) документальне підтвердження доступності громадського траспорту для осіб з порушеннями функціонування та інших маломобільних груп населення (зокрема, розрахунку відсотків) __________________ (посилання на звіт)</w:t>
            </w:r>
          </w:p>
        </w:tc>
      </w:tr>
      <w:tr w:rsidR="00FC2EB4" w:rsidRPr="00FC2EB4" w:rsidTr="00D977A6">
        <w:trPr>
          <w:trHeight w:val="103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Громадські зони забезпечено зручними лавками, пішохідними доріжками з рівним покриттям, доступними туалетами, паркувальними місцями з елементами доступності.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232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у громадських зонах відсутні або повністю недоступні: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лавки (наприклад, немає або незручні для осіб з порушенням функціонування),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доступні туалети (наприклад, жодного громадського туалету з безбар’єрним входом),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рівні пішохідні доріжки (напркилад, наявне ґрунтове або вибоїсте покриття),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паркувальні місця з елементами доступності (наприклад, відсутні).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немає жодного простору, який би враховував потреби осіб з інвалідністю чи маломобільних груп населення</w:t>
            </w:r>
          </w:p>
        </w:tc>
      </w:tr>
      <w:tr w:rsidR="00FC2EB4" w:rsidRPr="00FC2EB4" w:rsidTr="00214B83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Низький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лише окремі об’єкти або зони (менше 25%) мають поодинокі елементи доступності (наприклад, наявні лише одна-дві зручні лавки на всі громадські простори; одна доступна вбиральня, решта – звичайні; паркомісця для осіб з інвалідністю або не позначені, або зайняті сторонніми авто; доріжки мають ділянки з небезпечними нерівностями)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більшість елементів несправні, застарілі або незручні для використання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відсутній системний підхід до розміщення доступних рішень</w:t>
            </w:r>
          </w:p>
        </w:tc>
      </w:tr>
      <w:tr w:rsidR="00FC2EB4" w:rsidRPr="00FC2EB4" w:rsidTr="00D977A6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25% громадських зон мають окремі елементи безбар’єрного облаштування (наприклад, частина зон має доступні доріжки або туалети, але без зв’язку між ними; лавки без підлокітників, вузькі проходи, немає зручної навігації)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окремі зони можуть бути пристосовані, але частково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якомучастина елементів досить часто  несправні, застарілі або незручні для використання</w:t>
            </w:r>
          </w:p>
        </w:tc>
      </w:tr>
      <w:tr w:rsidR="00FC2EB4" w:rsidRPr="00FC2EB4" w:rsidTr="00D977A6">
        <w:trPr>
          <w:trHeight w:val="231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Середній рівень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50% громадських зон мають базове облаштування для осіб з інвалідністю та інших маломобільних груп населення (наприклад, туалети із поручнями; лавки з підлокітниками;  рівні, тверді пішохідні доріжки; паркувальні місця з елементами доступності)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перважана більшість адаптацій доглядаються і підтримуються у належному стані, проте деякі можуть бути несправні, застарілі або незручні для використання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простори можуть бути також частково зоновані логічно (зручне розташування длстурних туалетів, лавок і паркомісць)</w:t>
            </w:r>
          </w:p>
        </w:tc>
      </w:tr>
      <w:tr w:rsidR="00FC2EB4" w:rsidRPr="00FC2EB4" w:rsidTr="00866B21">
        <w:trPr>
          <w:trHeight w:val="699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75% громадських зон у громаді облаштовано з урахуванням потреб осіб з інвалідністю та інших маломобільних груп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наявні комплексні елементи доступності (наприклад, зручні лавки з підлокітниками, пандуси, доступні туалети, рівні, тверді пішохідні доріжки з достатньою шириною; марковані паркувальні місця з елементами доступності)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– як правило, розміщення елементів логічне та зручне: наприклад, зони комфорту (туалети, лавки, паркомісця) розміщено поруч одна з одною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більшість елементів є новими або відремонтованими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наявні незначні пошкодження/несправності окремих адаптацій, які вчасно ремонтуються/замінюються</w:t>
            </w:r>
          </w:p>
        </w:tc>
      </w:tr>
      <w:tr w:rsidR="00FC2EB4" w:rsidRPr="00FC2EB4" w:rsidTr="00D977A6">
        <w:trPr>
          <w:trHeight w:val="232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усі громадські зони (100%) пристосовано до потреб осіб з інвалідністю та інших маломобільних груп населення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усі громадські зони облаштовано та зоновано з урахуванням принципів універсального дизайну та функціональних доступних рішень (всі зони мають комплексні, функціональні рішення, які охоплюють потреби людей з порушеннями зору, слуху, опорно-рухового апарату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доступність забезпечена на рівні навігації та зонування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наявна система моніторингу та технічного обслуговування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усі випадки пошкодшень, несправностей або зношення фіксуються та усуваються без затримки згідно з визначеними стандартами обслуговування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Надайте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документальне підтвердження забезпечення зручними лавками, пішохідними доріжками з рівним покриттям, доступними туалетами, паркувальними місцями з елементами доступності громадських місць Вашої громади (зокрема, розрахунку відсотків)</w:t>
            </w:r>
            <w:r w:rsid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r w:rsidR="00091DAD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091DAD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091DAD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:rsidTr="00402B0B">
        <w:trPr>
          <w:trHeight w:val="507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214B83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Громадські</w:t>
            </w:r>
            <w:r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зони</w:t>
            </w:r>
            <w:r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r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освітленням</w:t>
            </w:r>
            <w:r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Виберіть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один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варіантів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відповіді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214B83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громадські простори не освітлюються в темний час доби або систематичне освітлення відсутнє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джерела освітлення наявні лише в окремих зонах (менше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можливим є також варіант, при якому джерела освітлення в переважній більшості несправні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r w:rsidR="003B7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світлення наявні у понад 25% зон, однак розташовані можуть бути нерівномірно, поодиноко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освітлення може бути слабким, не освтілювати всі зони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 більшості зон (понад 50%) забезпечено освітлення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джерела освітлення логічно розміщені та в переважній більшості є справними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освітленням забезпечено переважну більшість простору громадських зон</w:t>
            </w:r>
          </w:p>
        </w:tc>
      </w:tr>
      <w:tr w:rsidR="00FC2EB4" w:rsidRPr="00FC2EB4" w:rsidTr="00214B83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більшість громадських зон (понад 75%) забезпечено якісним, рівномірним освітленням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освітлюються ключові маршрути переміщення, зони очікування, входи до публічних будівель, пішохідні доріжки та паркувальні місця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більшість джерел освітлення знаходяться в справному стані, можуть мати незначні пошкодження, а у разі несправності - передбачено систему оперативного ремонту або заміни</w:t>
            </w:r>
          </w:p>
        </w:tc>
      </w:tr>
      <w:tr w:rsidR="00FC2EB4" w:rsidRPr="00FC2EB4" w:rsidTr="00D977A6">
        <w:trPr>
          <w:trHeight w:val="199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громадські простори (100%) мають якісне освітлення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освітленням забезпечено всі маршрути громадських зон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наявність освітлення контролюєтьсяя та підтримується стабільна робота його джерел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 громаді функціонує механізм моніторингу роботи освітлення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забезпечення громадських зон Вашої громади освітленням (зокрема, розрахунку відсотків)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Зупинки громадського транспорту громади обладнані навісами, інформаційними табло та зонами очікування з елементами доступності.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всі наявні зупинки не мають жодного елементу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відсутні навіси, сидіння, інформація про маршрути.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обладнані лише окремі зупинки (менше 25%) або фрагменти зупинок (наприклад, наявні поодинокі навіси, сидіння; інформаційні табло або взагалі відсутні або часто не працюють)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доступними є понад 25% з наявних зупинок (напрклад, є навіси, місця для очікування, подекуди - інформаційні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відсутня системність в облаштуванні зупинок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облаштування зупинок може бути частково пошкодженим або зношеним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зупинок обладнані базовими елементами доступності (наприклад, наявні навіси, лавки, пандуси, інформаційні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в переважній більшості випадків враховані потреби маломобільних груп населення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можуть бути наявні незначні пошкодження елементів облаштування, які вчасно ремонтуються/замінюються</w:t>
            </w:r>
          </w:p>
        </w:tc>
      </w:tr>
      <w:tr w:rsidR="00FC2EB4" w:rsidRPr="00FC2EB4" w:rsidTr="00214B83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зупинок у громаді обладнано елементами доступності (напркилад, навісами, лавками, пандусами, контрастною розміткою, справними інформаційними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потреби маломобільних груп населення враховано комплексно, у тому числі доступність простору для крісел колісних, людей з тростинами або дитячими візками.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елементи облаштування (сидіння, навіси тощо) підтримуються в належному стані, дрібні пошкодження або зношення вчасно усуваються.</w:t>
            </w:r>
          </w:p>
        </w:tc>
      </w:tr>
      <w:tr w:rsidR="00FC2EB4" w:rsidRPr="00FC2EB4" w:rsidTr="00D977A6">
        <w:trPr>
          <w:trHeight w:val="84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всі зупинки громадського транспорту (100%) відповідають вимогам інклюзивності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враховано потреби всіх груп населення (наприклад, наявна система озвучування інформації з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всі зупинки громадського транспорту бладнано комплексно: навіси, лавки, місця для крісел колісних, пандуси з поручнями, тактильна плитка, контрастна розмітка, інформаційні табло з візуальною та звуковою подачею інформації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елементи облаштування регулярно обслуговується, ремонтуються, оновлюються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функціонує стала система моніторингу, обслуговування і оновлення інфраструктури зупинок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обладнаних навісами зупинок громадського транспорту Вашої громади інформаційними табло та зонами очікування з елементами доступності (зокрема, розрахунку відсотків)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наявна відповідна розмітка, освітлення та маркування з елементами доступності пішохідних переходів у місцях з високим трафіком.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214B83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відсутня будь-яка розмітка та/або освітлення на усіх пішохідних переходах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пішохідні переходи важко помітні та складні для орієнтації, особливо в темний час доби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 відсутні будь-які елементами доступності пішохідних переходів у місцях з високим трафіком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Низький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менше 25% пішохідних переходів мають стару, стерту або частково знищену розмітку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освітлення часто відсутнє або не працює взагалі (до 25% пішохідних переходів)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відсутні маркування для осіб з порушенням зору</w:t>
            </w:r>
          </w:p>
        </w:tc>
      </w:tr>
      <w:tr w:rsidR="00FC2EB4" w:rsidRPr="00FC2EB4" w:rsidTr="00F32940">
        <w:trPr>
          <w:trHeight w:val="742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25% переходів мають розмітку, що може бути частково стертою або нерівномірно нанесеною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понад 25% переходів мають базове освітлення, однак воно незабезпечує якісне освітлення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– можливим є також варіант, при якому тактильні елементи або спеціальні маркування встановлено лише в окремих місцях без єдиного підходу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214B83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 рівень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переходів у зонах з високим трафіком облаштовано розміткою, маркуванням, освітленням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розмітка на більшості переходів (понад 50%) середнього рівня збереження, але частина з них потребує оновлення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впроваджено частковий підхід до врахування потреб маломобільних груп</w:t>
            </w:r>
          </w:p>
        </w:tc>
      </w:tr>
      <w:tr w:rsidR="00FC2EB4" w:rsidRPr="00FC2EB4" w:rsidTr="00D977A6">
        <w:trPr>
          <w:trHeight w:val="698"/>
        </w:trPr>
        <w:tc>
          <w:tcPr>
            <w:tcW w:w="704" w:type="dxa"/>
            <w:vMerge/>
            <w:hideMark/>
          </w:tcPr>
          <w:p w:rsidR="00FC2EB4" w:rsidRPr="00214B83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214B83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д) 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 вище середнього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більшість пішохідних переходів (понад 75%) у місцях з високим трафіком облаштовано з урахуванням потреб осіб з інвалідністю та маломобільних груп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наявне якісне освітлення, свіжа, чітка розмітка, а також тактильні елементи для орієнтації осіб з порушенням зору у понад 75%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првило, у разі пошкоджень або зношення елементів забезпечується їх своєчасне відновлення чи заміна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підхід до забезпечення доступності та оновлення пристосувань є системним</w:t>
            </w:r>
          </w:p>
        </w:tc>
      </w:tr>
      <w:tr w:rsidR="00FC2EB4" w:rsidRPr="00FC2EB4" w:rsidTr="00D977A6">
        <w:trPr>
          <w:trHeight w:val="1665"/>
        </w:trPr>
        <w:tc>
          <w:tcPr>
            <w:tcW w:w="704" w:type="dxa"/>
            <w:vMerge/>
            <w:hideMark/>
          </w:tcPr>
          <w:p w:rsidR="00FC2EB4" w:rsidRPr="00214B83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214B83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="00091DAD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переходи (100%) в місцях із трафіком  відповідають вимогам інклюзивності та універсального дизайну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встановлено якісне освітлення, яскраву та оновлену розмітку, контрастні елементи, тактильну плитку, зручну навігацію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всі елементи підтримується в належному стані, ремонтуються, оновлюються без затримок</w:t>
            </w:r>
            <w:r w:rsidR="00FC2EB4" w:rsidRPr="0021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доступність переходів враховується під час поточних ремонтів і реконструкцій дорожньої інфраструктури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214B83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наявної відповідної розмітки, освітлення та маркування з елементами доступності пішохідних переходів у місцях з високим трафіком у Вашій громаді (зокрема, розрахунку відсотків)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Світлофори громади забезпечено елементами оповіщення для осіб з порушенням зору.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усі світлофори не мають жодних елементів звукового оповіщення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орієнтація для осіб із порушенням зору є вркай ускладненою чи недоступною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жодних заходів щодо врахування інклюзивності на рівні світлофорної інфраструктури не передбачено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Низький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менше 25% світлофорів (наприколад, лише 1–2 світлофори) мають звукове оповіщення, або вони часто не працюють або встановлені хаотично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розміщення таких пристроїв не враховує зони пріоритетного пішохідного руху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відсутня система обслуговування таких пристроїв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 нижче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25% світлофорів мають звукове оповіщення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елементи доступності досить часто неузгоджені або несправні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 як правило, розміщення таких пристроїв частково враховує зони пріоритетного пішохідного руху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 можливим є також варіант, при якому роботи з  обслуговування таких пристроїв проводяться епізодично</w:t>
            </w:r>
          </w:p>
        </w:tc>
      </w:tr>
      <w:tr w:rsidR="00FC2EB4" w:rsidRPr="00FC2EB4" w:rsidTr="00D977A6">
        <w:trPr>
          <w:trHeight w:val="231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 рівень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світлофорів у громаді обладнано функціональними системами звукового оповіщення, які допомагають орієнтуватися особам з порушенням зору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пріоритет розміщення таких пристроїв надано у районах з інтенсивним трафіком та пішохідним маршрутам загального користування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частина систем може бути несправною або працювати нестабільно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ремонт здійснюється переважно за зверненнями громадян, а не на основі регулярного моніторингу</w:t>
            </w:r>
          </w:p>
        </w:tc>
      </w:tr>
      <w:tr w:rsidR="00FC2EB4" w:rsidRPr="00FC2EB4" w:rsidTr="00D977A6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 вище середнього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світлофорів у громаді обладнано функціональними системами звукового оповіщення, які допомагають орієнтуватися особам з порушенням зору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пріоритет надано зонам з інтенсивним рухом, поруч із громадськими установами, школами та зупинками транспорту.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усі елементи змонтовані з урахуванням просторової логіки руху пішоходів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у разі несправностей або пошкоджень вживаються оперативні заходи щодо ремонту чи заміни</w:t>
            </w:r>
          </w:p>
        </w:tc>
      </w:tr>
      <w:tr w:rsidR="00FC2EB4" w:rsidRPr="00FC2EB4" w:rsidTr="00214B83">
        <w:trPr>
          <w:trHeight w:val="199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світлофори (100%)  у громаді обладнано функціональними системами звукового оповіщення, які допомагають орієнтуватися особам з порушенням зору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відповідні системи перевіряються й обслуговуються регулярно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звукові сигнали мають регульовану гучність відповідно до рівня шуму в навколишньому середовищі (адаптивна система)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впроваджено систему планового технічного обслуговування, моніторингу та превентивного ремонту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забезпечення світлофорів елементами оповіщення для осіб з порушен</w:t>
            </w:r>
            <w:r w:rsid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вц</w:t>
            </w: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ням зору у Вашій громаді (зокрема, розрахунку відсотків)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Публічні простори та адмінбудівлі доступні для маломобільних груп.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091DAD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забезпечено належний рівень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відсутні будь-які пристосування для маломобільних груп населення у публічних просторах та адмінбудівлях (відсутні пандуси, ліфти, широкі проходи, тактильні елементи тощо)</w:t>
            </w:r>
          </w:p>
        </w:tc>
      </w:tr>
      <w:tr w:rsidR="00FC2EB4" w:rsidRPr="00091DAD" w:rsidTr="00214B83">
        <w:trPr>
          <w:trHeight w:val="1320"/>
        </w:trPr>
        <w:tc>
          <w:tcPr>
            <w:tcW w:w="704" w:type="dxa"/>
            <w:vMerge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091DAD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 рівень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загальна частка доступних об'єктів - менше 25%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деякі об'єкти мають окремі пристосування, але вони поодинокі й несистемні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пристосування встановлено вибірково, часто за ініціативою окремих установ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доступність забезпечено у частині просторів та адмінбудівель (понад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відсутній системний  підхід до забезпечення доступності та оновлення пристосувань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доступ є обмеженим, особливо у громадських місцях з великим потоком людей</w:t>
            </w:r>
          </w:p>
        </w:tc>
      </w:tr>
      <w:tr w:rsidR="00FC2EB4" w:rsidRPr="00FC2EB4" w:rsidTr="00D977A6">
        <w:trPr>
          <w:trHeight w:val="165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переважна більшість публічних просторва та адмінбудівель (понад 50%) мають необхідні пристосування для маломобільних груп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доступ забезпечено системно (наявні пандуси, ліфти, широкі проходи, тактильні елементи, навігація, доступні туалети тощо)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 є також варіант, при якому можуть враховуватися не всі потреби осіб з порушеннями функціонування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маломобільні групи населення можуть вільно пересуватись більшістю просторів</w:t>
            </w:r>
          </w:p>
        </w:tc>
      </w:tr>
      <w:tr w:rsidR="00FC2EB4" w:rsidRPr="00FC2EB4" w:rsidTr="00D977A6">
        <w:trPr>
          <w:trHeight w:val="264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публічних просторів та адмінбудівель у громаді мають функціональні пристосування для маломобільних груп населення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забезпечено системний підхід до облаштування простору (наприклад, наявні пандуси, ліфти, широкі дверні проходи, поручні, тактильні елементи, адаптовані туалети, частково - візуальна та аудіо навігація)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наявна логіка доступного зонування, наприклад, всі основні сервіси розміщені на доступних поверхах або є ліфт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виявлені пошкодження або зношення елементів доступності ремонтуються в оперативні строки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враховуються потреби різних груп, однак окремі інклюзивні рішення можуть бути неповними або потребувати удосконалення</w:t>
            </w:r>
          </w:p>
        </w:tc>
      </w:tr>
      <w:tr w:rsidR="00FC2EB4" w:rsidRPr="00FC2EB4" w:rsidTr="00D977A6">
        <w:trPr>
          <w:trHeight w:val="199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(100%) публічні простори та адміністративні будівлі громади облаштовано комплексно, згідно з принципами універсального дизайну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враховано потреби всіх осіб з тим чи іншим порушенням функціонування (рух, зір, слух тощо)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передбачено навігацію кількома каналами - зорову, тактильну, аудіо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маломобільні групи населення можуть вільно пересуватись та користуватись усіма функціональними зонами без обмежень чи супроводу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вроваджено систему регулярного моніторингу технічного стану адаптацій, ремонту та оновлення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забезпечення доступності публічних просторів та адмінбудівель у Вашій громаді (зокрема, розрахунку відсотків)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 громаді наявні зелені зони (парки, сквери тощо) в рамках пішої доступності із відповідним облаштуванням щодо вимог безбар’рності (10 хв пішки).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 межах пішої доступності (до 10 хвилин ходьби) від житлових масивів відсутні будь-які зелені зони (парки, сквери, громадські сади).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облаштування з урахуванням безбар’єрності (наприклад, відсутні пандуси, доріжки з твердим покритттям, зручні лавки, тактильні елементи, доступні входи)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навколишній простір є непридатним для відпочинку осіб із порушенням функціонування.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 межах 10 хв ходьби наявні лише 1 зелена зона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доступні лише поодинокі елементи безбар’єрності, часто несправні або незручні (наприклад, один пандус, зношені лавки тощо).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вхід може бути важкодоступним або незручним для маломобільних груп</w:t>
            </w:r>
          </w:p>
        </w:tc>
      </w:tr>
      <w:tr w:rsidR="00FC2EB4" w:rsidRPr="00FC2EB4" w:rsidTr="007E7A33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зелені зони в межах пішої доступності наявні, але охоплюють лише частину району (25–50% житлових кварталів)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зони частково облаштовані (наприклад, наявні деякі доступні доріжки, пандуси, лавки, але відсутня системність)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можливим є також варіант, при якому елементи доступності розташовані випадково, частина з них – несправна або не оновлювалась роками</w:t>
            </w:r>
          </w:p>
        </w:tc>
      </w:tr>
      <w:tr w:rsidR="00FC2EB4" w:rsidRPr="00FC2EB4" w:rsidTr="00F32940">
        <w:trPr>
          <w:trHeight w:val="1309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понад 50% жителів громади мають доступ до облаштованих зелених зон у межах 10 хвилин пішої ходи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зелені зони базово пристосовані для осіб з інвалідністю чи маломобільних груп населення (наприклал, є доріжки з твердим покриттям, пандуси, лавки з підлокітниками, частково - доступні туалети)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– можливим є також варіант, при якому може бракувати окремих елементів доступності  (наприклад, тактильних елементів, навігації, логіки зонування)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виявлені несправності усуваються, але системного контролю або моніторингу немає</w:t>
            </w:r>
          </w:p>
        </w:tc>
      </w:tr>
      <w:tr w:rsidR="00FC2EB4" w:rsidRPr="00FC2EB4" w:rsidTr="00D977A6">
        <w:trPr>
          <w:trHeight w:val="198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населення громади мають регулярний доступ до зелених зон із комплексними елементами доступності (у радіусі 10 хв ходьби)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зелені зони облаштовані системно (наприклад, є доступні входи, доріжки з твердим, рівним покриттям, зручні лавки з підлокотниками, доступні туалети, частково – тактильна навігація, зони затінення)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забезпечено логічне зонування, зручні маршрути для осіб з різними типами порушень.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несправності усуваються оперативно</w:t>
            </w:r>
          </w:p>
        </w:tc>
      </w:tr>
      <w:tr w:rsidR="00FC2EB4" w:rsidRPr="00FC2EB4" w:rsidTr="00D977A6">
        <w:trPr>
          <w:trHeight w:val="199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житлові квартали громади мають зелені зони в межах 10-хвилинної пішої доступності, повністю облаштовані за принципами універсального дизайну.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 зонах є єдоступні входи, доріжки з твердим, рівним покриттям, зручні лавки з підлокотниками, доступні туалети, тактильна навігація, зони затінення, сенсорні доріжки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усі елементи підтримуються в належному стані, є система регулярного технічного обслуговування та моніторингу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зелені зони є інклюзивними, безпечними та комфортними для всіх суспільних груп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наявності зелених зони (парки, сквери тощо) в рамках пішої доступності із відповідним облаштуванням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45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60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Участь мешканців у прийнятті рішень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працює механізм залучення різних суспільних груп (жінок, молоді, ВПО, осіб з інвалідністю) до прийняття рішень, які стосуються життя у Вашій громаді, з рекомендованою мінімальною частотою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 раз на 1 квартал.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32940" w:rsidP="00D977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забезпечено належний рівень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відсутній механізм залучення різних суспільних груп (жінок, молоді, ВПО, осіб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 прийняття рішень, які стосуються життя у Вашій громаді</w:t>
            </w:r>
          </w:p>
        </w:tc>
      </w:tr>
      <w:tr w:rsidR="00FC2EB4" w:rsidRPr="00D977A6" w:rsidTr="00B05CA4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наявний механізм залучення різних суспільних груп (жінок, молоді, ВПО, осіб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прийняття рішень, які стосуються життя у Вашій громаді з частотою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раз на рік</w:t>
            </w:r>
          </w:p>
        </w:tc>
      </w:tr>
      <w:tr w:rsidR="00FC2EB4" w:rsidRPr="00D977A6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наявний механізм залучення різних суспільних груп (жінок, молоді, ВПО, осіб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прийняття рішень, які стосуються життя у Вашій громаді 1 раз на 3 квартали </w:t>
            </w:r>
            <w:r w:rsidR="00FC2EB4" w:rsidRPr="00D9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D977A6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наявний механізм залучення різних суспільних груп (жінок, молоді, ВПО, осіб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прийняття рішень, які стосуються життя у Вашій громаді 1 раз на 2 квартали року </w:t>
            </w:r>
          </w:p>
        </w:tc>
      </w:tr>
      <w:tr w:rsidR="00FC2EB4" w:rsidRPr="00D977A6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 </w:t>
            </w:r>
            <w:r w:rsidR="00D977A6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наявний механізм залучення різних сцспільних груп (жінок, молоді, ВПО, людей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прийняття рішень, які стосуються життя у Вашій громаді 1 раз на 1 квартал року </w:t>
            </w:r>
          </w:p>
        </w:tc>
      </w:tr>
      <w:tr w:rsidR="00FC2EB4" w:rsidRPr="00D977A6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наявний механізм залучення різних суспільних груп (жінок, молоді, ВПО, осіб з інвалідністю)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 прийняття рішень, які стосуються життя у Вашій громаді щомісячно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наявного механізму залучення різних суспільних груп до прийняття рішень, які стосуються життя Вашої громади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Проводяться регулярні публічні консультації з питань безбар’єрності та інклюзії, з рекомендованою мінімальною частотою 1 раз на 1 квартал.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відсутнє проведення регулярних публічних консультацій з питань безбар’єрності та інклюзії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проведення публічних консультацій протягом 1-го кварталу року (1 раз на рік) </w:t>
            </w:r>
          </w:p>
        </w:tc>
      </w:tr>
      <w:tr w:rsidR="00FC2EB4" w:rsidRPr="00FC2EB4" w:rsidTr="007E7A33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проведення публічних консультацій протягом 2-х кварталів року (2 рази на рік)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проведення публічних консультацій протягом 3-х кварталів року (3 рази на рік)</w:t>
            </w:r>
          </w:p>
        </w:tc>
      </w:tr>
      <w:tr w:rsidR="00FC2EB4" w:rsidRPr="00FC2EB4" w:rsidTr="00D977A6">
        <w:trPr>
          <w:trHeight w:val="687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проведення публічних консультацій щоквартально (4 рази на рік)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проведення публічних консультацій щомісячно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Додайте, будь ласка, протокол/звіт за результатами проведених публічних консультацій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Представники різних суспільних груп населення, що проживають у громаді, входять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 складу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дорадчих органів.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відсутня залученість представників різних суспільних груп населення, що проживають у громаді до складу дорадчих органів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залучено менше 25% представників різних суспільних груп населення, що проживають у громаді, до складу дорадчих органів</w:t>
            </w:r>
          </w:p>
        </w:tc>
      </w:tr>
      <w:tr w:rsidR="00FC2EB4" w:rsidRPr="00FC2EB4" w:rsidTr="00F1016E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залучено понад 25% представників різних суспільних груп населення, що проживають у громаді, до складу дорадчих органів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залучено понад 50% представників різних суспільних груп населення, що проживають у громаді, до складу дорадчих органів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залучено понад 75% представників різних суспільних груп населення, що проживають у громаді, до складу дорадчих органів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залучено 100% представників різних суспільних груп населення, що проживають у громаді до складу дорадчих органів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1016E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hyperlink r:id="rId8" w:history="1">
              <w:r w:rsidRPr="001C2064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https://tulchynska-gromada.gov.ua/news/1739870341/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діє програма/програми підтримки ініціатив мешканців (фінансування за кошти донорів проєктів МТД).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F1016E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або ж активне посилання на таку програму/програми, а також документальне підтвердження результатів наданої підтримки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забезпечено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опублікування річного звіту громади щодо бюджетування у відкритому доступі.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613D09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613D09" w:rsidRDefault="00613D09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9" w:history="1">
              <w:r w:rsidRPr="001C2064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https://tulchynska-gromada.gov.ua/zviti-pro-vikonannya-pasportiv-bjudzhetnih-program-10-57-40-03-10-2023/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забезпечено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проведення відкритих слухань громади щодо місцевих проєктів розвитку.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не проводиться відкритих слухань громади щодо місцевих проєктів розвитку</w:t>
            </w:r>
          </w:p>
        </w:tc>
      </w:tr>
      <w:tr w:rsidR="00FC2EB4" w:rsidRPr="00FC2EB4" w:rsidTr="00613D09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проведено 1 відкрите слухання громади щодо місцевих проєктів розвитку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проведено 2-3 відкритих слухань громади щодо місцевих проєктів розвитку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проведено 4-5 відкритих слухань громади щодо місцевих проєктів розвитку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проведено 6-9 відкритих слухань громади щодо місцевих проєктів розвитку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проведено 10 і більше відкритих слухань громади щодо місцевих проєктів розвитку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протокол/звіт за результатами проведення відкритих слухань громади щодо місцевих проєктів розвитку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Громада залучає зовнішнє фінансування, таке як гранти та пільгове фінансування від міжнародних партнерів.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громада не залучає зовнішнє фінансування таке як гранти та пільгове фінансування від міжнародних партнерів</w:t>
            </w:r>
          </w:p>
        </w:tc>
      </w:tr>
      <w:tr w:rsidR="00FC2EB4" w:rsidRPr="00FC2EB4" w:rsidTr="00613D09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вищевказане зовнішнє фінансування складає менше 25% від бюджету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вищевказане зовнішнє фінансування складає понад 25% від бюджету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 вищевказане зовнішнє фінансування складає понад 50% від бюджету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вищевказане зовнішнє фінансування складає понад 75% від бюджету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вищевказане зовнішнє фінансування складає 100% від бюджету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залучення зовнішнього фінансування, а також зазначте який відсоток від місцевого бюджету воно складає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 є наявними громадські організації, що займаються підтримкою осіб з інвалідністю.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немає наявних громадських організацій, що займаються підтримкою осіб з інвалідністю </w:t>
            </w:r>
          </w:p>
        </w:tc>
      </w:tr>
      <w:tr w:rsidR="00FC2EB4" w:rsidRPr="00FC2EB4" w:rsidTr="00B05CA4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наявна 1 громадська організація, що займається підтримкою осіб з інвалідністю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наявні 2-3 громадські організації, що займаються підтримкою осіб з інвалідністю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наявні 4-5 громадських організацій, що займаються підтримкою осіб з інвалідністю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наявні 6-9 громадських організацій, що займаються підтримкою осіб з інвалідністю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 рівень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наявні 10 і більше громадських організацій, що займаються підтримкою осіб з інвалідністю 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B05CA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hyperlink r:id="rId10" w:history="1">
              <w:r w:rsidRPr="001C2064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https://www.facebook.com/prominnadii.tulchin/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наявна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місцева Рада безбарʼєрності та проводяться засідання протягом року.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відсутня Рада Безбар'єрності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наявна рада та проведення одного засідання протягом року (1 раз на рік)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наявна рада та проведення одного засідання 2 рази на рік (раз на рів року)</w:t>
            </w:r>
          </w:p>
        </w:tc>
      </w:tr>
      <w:tr w:rsidR="00FC2EB4" w:rsidRPr="00FC2EB4" w:rsidTr="004965D5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наявна рада та проведення одного засідання 3 рази на рік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наявна рада та проведення одного засідання щоквартально (4 рази на рік)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наявна рада та проведення засідань більше 4-х разів на рік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підтвердження проведення місцевої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Ради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безбар'єрності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новину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3. Стійкість громади 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проводиться  щорічне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громадське опитування щодо потреб мешканців.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4965D5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посилання на результати проведеного щорічного громадського опитування щодо потреб мешканців у Вашій громаді 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наявний власний план дій (план евакуації) на випадок надзвичайних ситуацій.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4965D5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наявного власного плану дій Вашої громади (план евакуації) на випадок надзвичайних ситуацій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план дій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Різні суспільні групи населення, що проживають у громаді, включені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план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дій громади на випадок надзвичайних ситуацій.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611507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плану дій Вашої громади на випадок надзвичайних ситуацій, де включено різні суспільні групи населення, що проживають у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план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тренінги або навчання з безпеки життєдіяльності для мешканців (протягом року).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не проводяться тренінги  або навчання з безпеки життєдіяльності для мешканців</w:t>
            </w:r>
          </w:p>
        </w:tc>
      </w:tr>
      <w:tr w:rsidR="00FC2EB4" w:rsidRPr="00FC2EB4" w:rsidTr="00611507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1 тренінг та навчання з безпеки життєдіяльності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проводиться 2-3 тренінги та навчання з безпеки життєдіяльності на рік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проводиться 4-5 тренінгів та навчань з безпеки життєдіяльності на рік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6-9 тренінгів та навчань з безпеки життєдіяльності на рік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регулярно проводиться 10 і більше тренінгів та навчань з безпеки життєдіяльності на рік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буль ласка, документальне підтвердження кількості проведених тренінгів або навчань з безпеки життєдіяльності для мешканців, що проводяться протягом року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Наявні договори/меморандуми з містами-побратимами (договори співпраці з іншим містом/містами).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3B163A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таких договорів/меморандумів, а також документальне підтвердження їхньої наявності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забезпечено доступ до укриттів для осіб з порушеннями опорно-рухового апарату, зору, слуху.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B74953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відсутні забезпечені належним доступом укриття для осіб з порушеннями опорно-рухового апарату, зору, слуху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доступом менше 25% укриттів для осіб з порушеннями опорно-рухового апарату, зору, слуху</w:t>
            </w:r>
          </w:p>
        </w:tc>
      </w:tr>
      <w:tr w:rsidR="00FC2EB4" w:rsidRPr="00FC2EB4" w:rsidTr="003B163A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auto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доступом понад 25% укриттів для осіб з порушеннями опорно-рухового апарату, зору, слуху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доступом понад 50% укриттів для осіб з порушеннями опорно-рухового апарату, зору, слуху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забезпечено доступом понад 75% укриттів для осіб з порушеннями опорно-рухового апарату, зору, слуху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забезпечено доступом 100% укриттів для осіб з порушеннями опорно-рухового апарату, зору, слуху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Вкажіть, будь ласка, загальну кількість облаштованих укриттів та надайте документальне підтвердження облаштувань (фотозвіт)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розміщена інформація про евакуацію в доступних форматах (проста (спрощена) мова, шрифт Брайля, відео з перекладом жестовою мовою тощо).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71605E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прикладів такого розміщення інформації у Вашій громаді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Громаду забезпечено соціальним житлом або доступними для оренди квартирами різні суспільні групи мешканців (особи старшого віку, ВПО, особи з інвалідністю) відповідно до визначених потреб.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не забезпечено соціального житла або доступних для оренди квартир для різних суспільних груп мешканців (особи старшого віку, ВПО, особи з інвалідністю) відповідно до визначених потреб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забезпечено менше 25% соціального житла або доступних для оренди квартир різні суспільні групи мешканців (особи старшого віку, ВПО, особи з інвалідністю) відповідно до визначених потреб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забезпечено понад 25% соціального житла або доступних для оренди квартир різні суспільні групи мешканців (особи старшого віку, ВПО, особи з інвалідністю) відповідно до визначених потреб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забезпечено понад 50% соціального житла або доступних для оренди квартир різні суспільні групи мешканців (особи старшого віку, ВПО, особи з інвалідністю) відповідно до визначених потреб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забезпечено понад 75% соціального житла або доступних для оренди квартир різні суспільні групи населення (особи старшого віку, ВПО, особи з інвалідністю) відповідно до визначених потреб 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 у громаді забезпечено 100% соціального житла або доступних для оренди квартир різні суспільні групи населення (особи старшого віку, ВПО, особи з інвалідністю) відповідно до визначених потреб 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Вкажіть, будь ласка, точну кількість такого житла, яким забезпечено різні соціальні групи населення (особи старшого віку, ВПО, особи з інвалідністю) відповідно до визначених потреб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реалізуються програми підтримки різних суспільних груп населення (особи старшого віку, ВПО, особи з інвалідністю).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3B163A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71605E">
        <w:trPr>
          <w:trHeight w:val="1010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таких програм у Вашій громаді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програми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Населення громади охоплено послугами первинної медичної допомоги, включно з населенням віддалених районів громади.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населення громади не охоплено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охоплено менше 25% населення громади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охоплено понад 25% населення громади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охоплено понад 50% населення громади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охоплено понад 75% населення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3B163A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 у громаді охоплено 100% населення послугами первинної медичної допомоги, включно з населенням віддалених районів громади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відсоткового коефіцієнта охоплення населення громади послугами первинної медичної допомоги, включно з населенням віддалених районів Вашої громади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 громаді наявні відповідні інституції, що забезпечують інтереси осіб з різними функціональними порушеннями (центри підтримки, центри життєстійкості тощо).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- у громаді відсутні відповідні інституції, що забезпечують інтереси осіб з різними функціональними порушеннями (центри підтримки, центри життєстійкості тощо)</w:t>
            </w:r>
          </w:p>
        </w:tc>
      </w:tr>
      <w:tr w:rsidR="00FC2EB4" w:rsidRPr="00FC2EB4" w:rsidTr="003B163A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послугами вищевказаних інституцій охоплено менше 25% населення громади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послугами вищевказаних інституцій охоплено понад 25% населення громади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послугами вищевказаних інституцій охоплено понад 50% населення громади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послугами вищевказаних інституцій охоплено понад 75% населення громади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послугами вищевказаних інституцій охоплено 100% населення громади 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наявних відповідних інституцій, що забезпечують інтереси осіб з різними функціональними порушеннями (центри підтримки, центри життєстійкості тощо)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рівень безпеки в різних районах міста є приблизно однаковим.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3B163A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безпекової ситуації в різних районах міста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впроваджуються ініціативи сталого розвитку, які включено до стратегії громади.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таких ініціатив, а також документальне підтвердження їхньої наявності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214B83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214B83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 Освітня безбар'єрність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разі звернення батьків дитини з ООП або осіб, що їх замінюють, в громаді створюється інклюзивний клас.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 всі звернення ігноруються або залишаються без реагування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інклюзивні класи створюються в поодиноких випадках (менше 25% від поданих заяв)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 інклюзивні класи створюються в понад 25% випадків від поданих заяв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інклюзивні класи створюються в понад 50% випадків від поданих заяв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 інклюзивні класи створюються в понад 75% випадків від поданих заяв</w:t>
            </w:r>
          </w:p>
        </w:tc>
      </w:tr>
      <w:tr w:rsidR="00FC2EB4" w:rsidRPr="00FC2EB4" w:rsidTr="00B74953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 інклюзивні класи створюються в 100% випадків від поданих заяв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розрахунку відсотків випадків відкриття інклюзивних класів за заявами ибатьків або осіб, що їх замінюють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Здобувачі освіти та їхні батьки (особи, що їх замінюють) поінформовані про право на інклюзивне навчання в громаді.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жодних інформаційних заходів  не проводиться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офіційна інформація відсутня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інформаційні заходи не охоплюють більшість здобувачів та їхніх батьків (менше 25%)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також можуть ьути випадки, коли реалізуються поодинокі заходи (наприклад, надсилається одне повідомлення на початку навчального року)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інформаційні заходи охоплюють понад 25% здобувачів освіти та їхніх батьків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заходи проводяться без системності (наприклад окрім повідомлень, також проводяться 1-2 очні зустрічі  або консультації в окремих класах протягом навчального року)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інформацію отримують більшість здобувачів освіти та їхніх батьків (понад 50%)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заходи реалізовуються, проте без охоплення всіх форм комунікації  (наприклад, 3-4 рази протягом навчального року проводяться особисті зустрічі, батьківські збори, вебінари) 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інфомацією охоплено майже всіх здобувачів освіти та їхніх батьків (понад 75%)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реалізовано системне інформування (наприклад, через сайти, адміністрацію та педпрацівників закладів освіти (в т.ч. через месенджери), працівників ІРЦ (у разі зверення))</w:t>
            </w:r>
          </w:p>
        </w:tc>
      </w:tr>
      <w:tr w:rsidR="00FC2EB4" w:rsidRPr="00FC2EB4" w:rsidTr="00B74953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широке охоплення аудиторії (100 %)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реалізовано системне інформування (наприклад, через різні канали, регулярне оновлення, доступні консультації для батьків, також отримується зворотний зв’язок від батьків)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розрахунку відсотків поінформованості здобувачів освіти та їхніх батьків (осіб, що їх замінюють) про право на інклюзивне навчання в громаді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школи/садочки доступні для дітей з порушеннями опорно-рухового апарату.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жоден заклад освіти не пристосований (відсутні пандуси, підйомники, широкі проходи)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окремі школи/садочки частково адаптовані, проте без системного підходу (менше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можливими є також випадки, при яких досить часто адаптації не відповідають вимогам або не підтримуються у справному стані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25% закладів освіти мають часткові адаптації, проте без системного підходу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можливими є також випадки, при яких алаптації не завжди відповідають вимогам або не підтримуються у справному стані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закладів освіти доступні для дітей з порушеннями ОРА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можливими є також випадки при яких можуть бути недоопрацьовані окремі елементи або незручна організація простору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закладів адаптовано комплексно (пандуси, підйомники, широкі проходи, доступні санвузли, наявна певна організація простору)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всі адаптації справні, ремонт та оновлення відбувається без затримок </w:t>
            </w:r>
          </w:p>
        </w:tc>
      </w:tr>
      <w:tr w:rsidR="00FC2EB4" w:rsidRPr="00FC2EB4" w:rsidTr="00B74953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100% закладів забезпечено відповідною інфраструктурою, простір закладу логічно зоновано з урахуванням принципів універсального дизайну та розумного пристосування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при ремонтах і реконструкціях враховуються потреби всіх дітей з ООП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розрахунку відсотків доступності шкіл/садочів для дітей з порушеннями опорно-рухового апарату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закладах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освіти громади наявне кадрове забезпечення для навчання дітей з ООП.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кадрове забезпечення  для реалізації інклюзивного навчання відсутнє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заклади освіти забезпечені необхідними кадрами на рівні 25%  (наприклад, лище в окремих випадках призначено асистента дитини)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заклади освіти частково забезпечені кадрами (понад 25%) (напрклад, спостерігається нестача асистентів вчителя та дитини, велика плинність кадрів)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заклади освіти забезпечені кадрами на рівні понад 50% (напрклад, системна робота ведеться, але потребує розширення: не всі діти з ООП забезпечені супроводом)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кадрове забезпечення підтримується на рівні понад 75% (педагоги проходять навчання, є підтримка ІРЦ,  висока кадрова стабільність)</w:t>
            </w:r>
          </w:p>
        </w:tc>
      </w:tr>
      <w:tr w:rsidR="00FC2EB4" w:rsidRPr="00FC2EB4" w:rsidTr="00B74953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 заклади на 100% кадрово забезпечений (напркилад, у громаді функціонує налагоджена модель кадрового супроводу, що включає асистентів, фахівців ІРЦ, системне навчання та заохочення педагогів)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розрахунку відсотків кадрового забезпечення для навчання дітей з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ООП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закладах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освіти громади забезпечено дистанційну форму здобуття освіти.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відсутній будь-який доступ до дистанційного навчання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також можливим є варіант, коли в закладах освіти відсутня технічна та/або організаційна можливість організації дистанційного навчання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дистанційна освіта доступна лише вибірково (менше 25% учнів громади)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також можливим є варіант, коли відсутня технічна підтримка з боку закладу освіти 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25% здобувачів мають можливість навчатися дистанційно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частково враховано потреби окремих груп, але відсутня універсальність рішень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учнів мають стабільний доступ до дистанційної форми освіти.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як правило, більшість педагогів забезпечують регулярну взаємодію, проте є технічні або організаційні прогалини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дистанційна освіта доступна переважно всім здобувачам освіти (понад 75%)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при організації дистанційного навчання враховано потреби дітей з ООП</w:t>
            </w:r>
          </w:p>
        </w:tc>
      </w:tr>
      <w:tr w:rsidR="00FC2EB4" w:rsidRPr="00FC2EB4" w:rsidTr="00B74953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дистанційна освіта доступна всім учням без виключення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забезпечено цифрову доступність, технічну підтримку, адаптацію матеріалів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розрахунку відсотків забезпечення дистанційною освітою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відсутні випадки неохоплення загальною середньою освітою дітей шкільного віку.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випадки наявні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B74953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випадки відсутні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D9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відсутності випадків неохоплення загальною середньою освітою дітей шкільного віку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громаді вживаються заходи у випадку неохоплення загальною середньою освітою дітей шкільного віку.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діти, не охоплені шкільним начанням, не повертаються до навчання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жодних заходів не вживається або заходи виявляюються неефективними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менше 25% дітей, не охоплених шкільним начанням, повертаються до навчання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заходи проводяться рідко, без системності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25% не охоплених шкільним начанням, повертаються до навчання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заходи вживаються фрагментарно, проте без системності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50% не охоплених шкільним начанням, повертаються до навчання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заходи вживаються, проте можуть бути затримки чи прогалини в координації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75% не охоплених шкільним начанням,  повертаються до навчання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 наявний чіткий алгоритм реагування</w:t>
            </w:r>
          </w:p>
        </w:tc>
      </w:tr>
      <w:tr w:rsidR="00FC2EB4" w:rsidRPr="00FC2EB4" w:rsidTr="00B74953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вживаються своєчасні та ефективні заходи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100% дітей, не охоплених шкільним навчанням, після вжиття заходів повертаються до навчання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розрахунку відсотків поверення до навчання дітей, не охоплених шкільним начанням, за результатами вжитих заходів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B74953">
        <w:trPr>
          <w:trHeight w:val="733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наявні програми неформальної освіти, доступні всім охочим.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B74953">
        <w:trPr>
          <w:trHeight w:val="33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наявності програм неформальної освіти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00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5. Суспільна безбар’єрність 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не толеруються прояви дискримінації та діють ініціативи задля попередження дискримінації.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відсутні будь-які ініціативи, програми чи заходи щодо протидії дискримінації на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також можуть бути ситуації, коли зафіксовано випадки дискримінації, на які відсутнє реагування 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протягом року в громаді реалізовано не більше 1 ініціативи, програми чи заходу з протидії дискримінації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відсутній інтерес або ініціатива з боку ОМС чи громади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реагування на випадки дискримінації є вибірковим або несвоєчасним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протягом року в громаді проведено 2-3 ініціативи, програми чи заходи з протидії дискримінації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також можуть бути випадки, коли ініціативи реалізовуються переважно НУО  без підтримки місцевої влади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як правило, реагування на випадки дискримінації відбувається, проте воно несистемне</w:t>
            </w:r>
          </w:p>
        </w:tc>
      </w:tr>
      <w:tr w:rsidR="00FC2EB4" w:rsidRPr="00FC2EB4" w:rsidTr="00402B0B">
        <w:trPr>
          <w:trHeight w:val="742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протягом року реалізовано 4-5 ініціатив, програм чи заходиів з протидії дискримінації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як правило, під час реалізації ініціатив організовано взаємодію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ОМС з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громадськими організаціями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 громаді розроблено систему реагування на прояви дискримінації</w:t>
            </w:r>
          </w:p>
        </w:tc>
      </w:tr>
      <w:tr w:rsidR="00FC2EB4" w:rsidRPr="00FC2EB4" w:rsidTr="00CA605E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реалізується щонайменше 6–9  ініціатив, програм чи заходів з протидії дискримінації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місцева влада є активним учасником або ініціатором заходів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в громаді розроблено систему реагування на прояви дискримінації та її попередження 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 громаді діє понад 10 ініціатив, програм чи заходів з протидії дискримінації на рік, що охоплюють різні аудиторії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місцева влада є активним учасником або ініціатором заходів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функціонує комплексна система регування на випалки дискримінації та протидії їй ( втому числі підтримка постраждалих)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кількості проведених ініціатив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Працівники органів місцевого самоврядування громади пройшли навчання на тему безбар’єрності та інклюзії.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працівники ОМС не проходили відповідне навчання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навчання не проводилося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менше 25% працівників пройшли навчання за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навчання епізодичне, без системного охоплення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результати навчання точково інтегруються в роботу ОМС</w:t>
            </w:r>
          </w:p>
        </w:tc>
      </w:tr>
      <w:tr w:rsidR="00FC2EB4" w:rsidRPr="00FC2EB4" w:rsidTr="00CA605E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25% працівників пройшли навчання за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навчання організовано з базових питань інклюзії та проводиться щороку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результати навчання поступово інтегруються в роботу ОМС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50% працівників пройшли навчання за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є плановість у провденні щорічних начань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тематика безбар’єрності інтегрована у роботу ОМС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понад 75% працівників пройшли навчання за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є плановість та системність у провденні щорічних начань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тематика безбар’єрності інтегрована у роботу ОМС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100% працівників пройшли навчання за рік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навчання є обов’язковим елементом щорічного підвищення кваліфікації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тематика безбар’єрності інтегрована у роботу ОМС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розрахунку відсотків працівників, що пройшли відповідне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навчання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заходи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 теми прав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людини і рівних можливостей.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у громаді не проводяться заходи на теми прав людини і рівних можливостей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також можливі випадку, коли відсутній інтерес або ініціатива з боку ОМС чи громади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проведено не більше 1 заходу на рік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відсутній інтерес або ініціатива з боку ОМС чи громади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проведено 2–3 заходи на рік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також можливі випадки, коли ініціативи реалізовуються переважно за підтримки НУО, без активної участі ОМС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реалізовано 4–5 заходів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частково залучені різні групи населення та представники ОМС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Вище середнього рівня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організовано 6–9 подій на рік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правилои, заходи реалізуються за активної участі ОМС</w:t>
            </w:r>
          </w:p>
        </w:tc>
      </w:tr>
      <w:tr w:rsidR="00FC2EB4" w:rsidRPr="00FC2EB4" w:rsidTr="003668F9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щорічно проводиться понад 10 тематичних заходів з прав людини і рівних можливостей– місцева влада є активним учасником або ініціатором заходів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охоплено різні аудиторії: молодь, освітяни, працівники ОМС, жінки, люди з інвалідністю тощо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тема є інтегрованою у культурні, освітні та інформаційні політики громади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підтвредження кількості проведених заходів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заходи та культурні події, важливі для різних суспільних груп населення.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жодні заходи та культурні події, важливі для різних суспільних груп населення громади, протягом року не проводилися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проводиться не більше 1-го заходу та культурної події, важливої для різних груп населення громади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також можуть бути випалки, коли доступність або інклюзивність такого заходу та події є недостатньою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проводиться 2–3 заходи та культурні події на рік орієнтовані на потреби різних суспільних груп населення громади (наприклад, людей старшого віку або дітей)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також можуть бути випадки, коли доступність або інклюзивність таких заходів та подій є недостатньою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проводиться 4–5 заходів чи культурних подій, важливих для різних суспільних груп населення громади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події перважно враховують потреби відвідувачів у доступності та безбар’єрності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протягом року проводиться 6–9 заходів чи культурних подій щороку, важливих для різних суспільних груп населення громади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події адаптовано до потреб маломобільних осіб, сімей з дітьми, ветеранів, молоді тощо</w:t>
            </w:r>
          </w:p>
        </w:tc>
      </w:tr>
      <w:tr w:rsidR="00FC2EB4" w:rsidRPr="00FC2EB4" w:rsidTr="00690560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протягом року продиться понад 10 заходів та культурних подій щорічно, важливих для різних суспільних груп населення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події адаптовано до потреб маломобільних осіб, сімей з дітьми, ветеранів, молоді тощо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кількості проведених заходів та культурних подій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забезпечено місця для вільного зібрання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мешканців  (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зокрема соціальні клуби, паркові зони, коворкінги, центри громадської участі, ветеранські хаби, бібліотеки тощо).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місця для зібрань майже відсутні або існують формально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менше 10% на кожні 10 тис. наслення громади має доступ до таких просторів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 не забезпечена достпність таких просторів 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менше 25% на кожні 10 тис. населення громади має доступ до місць для вільного зібрання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наявні лише поодинокі об’єкти, які не охоплюють основні групи населення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забезпечена часткова достпність таких просторів 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25% на кожні 10 тис. мешканців громади мають доступ до таких місць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інфраструктура фрагментарна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прааивло, деякі простори не відповідають базовим умовам доступності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50%  на кожні 10 тис. мешканців громади  мають доступ до місць для зібрань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можуть бути випадки, коли протори не рівномірно розподілені між населеними пунктами громади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наявна базова доступність </w:t>
            </w:r>
          </w:p>
        </w:tc>
      </w:tr>
      <w:tr w:rsidR="00FC2EB4" w:rsidRPr="00FC2EB4" w:rsidTr="00D977A6">
        <w:trPr>
          <w:trHeight w:val="132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 вище середнього 4 бали)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на кожні 10 тис. мешканців громади  мають доступ до місць для зібрань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є різноманітні формати локацій (від бібліотек до відкритих просторів), адаптовані під різні групи населення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забезпечено комплексну доступність</w:t>
            </w:r>
          </w:p>
        </w:tc>
      </w:tr>
      <w:tr w:rsidR="00FC2EB4" w:rsidRPr="00FC2EB4" w:rsidTr="00CA605E">
        <w:trPr>
          <w:trHeight w:val="133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100%  на кожні 10 тис. мешканців громади мають доступ до зручних місць для зібрань у межах пішої доступності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мережа просторів різноманітна, охоплює інтереси й потреби різних вікових, соціальних і суспільних груп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простори активно використовуються, підтримуються, забезпечені комплексними умовами доступності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підтвредження розрахунку відсотків забезпечення населення громади (на кожні 10 000) місць для вільного зібрання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наявні ініціативи, що підтримують міжпоколіннєвий або міжкультурний діалог та обмін досвідом.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у громаді не проводяться заходи чи ініціативи, спрямовані на діалог між поколіннями або культурами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– відсутні можливості для взаємодії людей різного віку, походження чи досвіду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реалізовано не більше 1 ініціативи на рік, що об’єднують молодь та людей старшого віку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не залучено більше однієї групи (наприклад, лише молодь)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2-3 ініціативи щороку, що об’єднують молодь та людей старшого віку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залучено декілька груп (наприклад, молодь та особи старшого віку)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4–5 ініціатив щороку, що об’єднують молодь та людей старшого віку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залучено декілька груп (наприклад, молодь та особи старшого віку)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6–9 регулярних ініціатив у партнерстві з ОМС або за її підтримки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відбувається взаємодія між поколіннями, мешканцями з різними походженням, культурою тощо</w:t>
            </w:r>
          </w:p>
        </w:tc>
      </w:tr>
      <w:tr w:rsidR="00FC2EB4" w:rsidRPr="00FC2EB4" w:rsidTr="003668F9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реалізується понад 10 ініціатив або програм щорічно, що охоплюють міжпоколіннєвий та міжкультурний обмін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міжпоколіннєвий або міжкультурний діалог та обмін досвідом є інтегрованим елементом освітніх, культурних та соціальних стратегій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кількості наявних ініціатив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6. Інклюзивні послуги та сервіси 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наявна можливість запису на прийом щодо отримання необхідних послуг онлайн або з використанням спеціальних додатків у смартфонах, що допомагає уникнути складних процедур запису для осіб з інвалідністю та інших суспільних груп населення.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онлайн-запис повністю відсутній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онлайн-запис доступний для менше, ніж 25% основних послуг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онлайн-запис доступний для понад 25 % послуг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можуть бути випадки, коли сервіс працює нестабільно або незручно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онлайн-запис доступний для понад 50% послуг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сервіси працюють та передбачено базову зручність для різних суспільних груп</w:t>
            </w:r>
          </w:p>
        </w:tc>
      </w:tr>
      <w:tr w:rsidR="00FC2EB4" w:rsidRPr="00FC2EB4" w:rsidTr="002C24DE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онлайн-запис доступний для понад 75% послуг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правило,ервіси працюють та їхгій інтерфейс враховує потреби осіб з інвалідністю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100% послуг мають онлайн-запис або запис через додатки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сервіси є доступними, зручними, адаптованими для різних суспільних груп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розрахунку відсотків послуг, для яких доступним є запис онлайн або з використанням спеціальних додатків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інформація про сервіси/послуги/події дублюється шрифтом Брайля, жестовою мовою, простою (спрощеною) мовою та доступна в онлайн форматі.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Виберіть один з варіантів відповіді:</w:t>
            </w:r>
          </w:p>
        </w:tc>
      </w:tr>
      <w:tr w:rsidR="00FC2EB4" w:rsidRPr="00FC2EB4" w:rsidTr="002C24DE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інформація не дублюється жодним альтернативним способом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альтернативне дублювання охоплює менше 25% ключової інформації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реалізується несистемно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дублювання альтернативним способом здійснюється для понад 25% інформації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присутні лише окремі формати (наприклад, онлайн або жестова мова)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 понад 50% інформації дублюється альтернативним способом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праивло, використовуються щонайменше два альтернативні формати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понад 75% інформації дублюється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інформація доступна для різних груп (з порушеннями зору, слуху, когнітивними порушеннями)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100% інформації дублюється у доступних форматах: Брайль, жестова мова, проста (спрощена) мова, онлайн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використовується багатоканальне інформування</w:t>
            </w:r>
          </w:p>
        </w:tc>
      </w:tr>
      <w:tr w:rsidR="00FC2EB4" w:rsidRPr="00D977A6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підтвердження розрахунку відсотків сервісів/послуг/подій, про які інформація дублюється шрифтом Брайля, жестовою мовою, спрощеною мовою або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онлайн 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інформація про послуги є доступною в зручних форматах.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2C24DE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ні, інформацію про жодну послугу не можна отримати у зручному форматі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так, інформацію про окремі послуги можна отримати у зручному форматі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 те, що у громаді інформація про послуги регулярно оновлюється і є доступною в зручних форматах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послуги надаються дистанційно (телефоном, онлайн), якщо це необхідно.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2C24DE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ні, відсутня можливість отримати жодну послугу дистанційно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так, є можливість отримати окремі види послуг дистанційно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 те, що у громаді послуги надаються також дистанційно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надається послуга перекладача жестової мови або супроводу за запитом.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1978F5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 те, що у громаді надається послуга перекладача жестової мови або супроводу за запитом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наявна можливість отримати супровід або допомогу при оформленні документів.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1978F5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 те, що у громаді наявна можливість отримати супровід або допомогу при оформленні документів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віддалених районах громади надається мобільна допомога/виїзні бригади медичних або соціальних працівників.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D977A6" w:rsidTr="00D977A6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D977A6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мобільна допомога або виїзні бригади взагалі не функціонують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можливі випадки, коли відсутня реакція на виклики або виклики ігноруються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виїзди здійснюються рідко: менше ніж 1 раз на місяць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можливі випадки, коли виклики часто залишаються без реагування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виїзди здійснюються не рідше 1 раз на місяць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можливі випадки, коли бригади не завжди доїжджають до всіх заявлених локацій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виїзди здійснюються не рідше 1 разу на 2 тижні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можливі випадки, коли бригади доїзжджають із затримками</w:t>
            </w:r>
          </w:p>
        </w:tc>
      </w:tr>
      <w:tr w:rsidR="00FC2EB4" w:rsidRPr="00FC2EB4" w:rsidTr="00D977A6">
        <w:trPr>
          <w:trHeight w:val="99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бригади здійснюють виїзди щотижня або частіше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як правило, є чіткий графік виїздів та можливість реагування на екстрені запити</w:t>
            </w:r>
          </w:p>
        </w:tc>
      </w:tr>
      <w:tr w:rsidR="00FC2EB4" w:rsidRPr="00FC2EB4" w:rsidTr="001978F5">
        <w:trPr>
          <w:trHeight w:val="100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доступності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виїзди відбуваються регулярно та за потреби, включаючи екстрені виклики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забезпечено оперативне реагування протягом 24 годин після звернення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про кількість виїздів та оперативність реагування мобільної допомоги/виїзних бригад медичних або соціальних працівників у віддалених районах громади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r w:rsidR="00866B21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214B83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214B83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7. Цифрова безбар'єрність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Громада має сайт або онлайн-портал, доступний для людей з порушенням зору/слуху.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1978F5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посилання на такий </w:t>
            </w:r>
            <w:r w:rsid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веб</w:t>
            </w: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сайт або онлайн-портал у Вашій громаді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можна оформити необхідні документи онлайн без необхідності відвідування адміністративних будівель особисто.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1978F5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такий онлайн-ресурс або документальне підтвердження такого функціоналу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створено мобільний додаток для інформування щодо забезпечення потреб громади, а також забезпечено його адаптацію для різних суспільних груп населення.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1978F5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такий додаток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для різних сусіпльних груп забезпечено безбар’єрний доступ до електронних публічних послуг.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1978F5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онлайн ресурс з безбар’єрним доступом до електронних публічних послуг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аді для різних сусіпльних груп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забезпечено безбар’єрний доступ до публічної інформації органів владних повноважень.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1978F5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онлайн-ресурс з безбар’єрним доступом до публічної інформації органів владних повноважень Вашої громади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гром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аді для різних сусіпльних груп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забезпечено безбар’єрний доступ до аудіовізуальних та друкованих медіа.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Відповідь, будь ласка, оберіть із поданих нижче варіантів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:rsidTr="001978F5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посилання на онлайн-ресурс або ж документальне підтвердження безбар’єрного доступу до аудіовізуальних та друкованих медіа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69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для різних сусіпльних груп забезпечено безбар’єрний доступ до швидкісного інтернету.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відсутнє забезпечення безбар’єрним доступом до швидкісного інтернету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безбар'єрним доступом до швидкісного інтернету менше 25%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безбар'єрним доступом до швидкісного інтернету понад 25%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безбар'єрним доступом до швидкісного інтернету понад 50%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безбар'єрним доступом до швидкісного інтернету понад 75% мешканців</w:t>
            </w:r>
          </w:p>
        </w:tc>
      </w:tr>
      <w:tr w:rsidR="00FC2EB4" w:rsidRPr="00FC2EB4" w:rsidTr="001978F5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забезпечено безбар'єрним доступом до швидкісного інтернету 100% мешканців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підтвердження забезпечення безбар’єрного доступу до швидкісного інтернету різних суспільних груп Вашої громади 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для різних суспільних груп забезпечено безбар’єрний доступ до отримання цифрових знань та навичок.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відсутнє забезпечення безбар’єрним доступом до отримання цифрових знань та навичок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безбар’єрним доступом до отримання цифрових знань та навичок менше 25%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безбар’єрним доступом до отримання цифрових знань та навичок понад 25%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безбар’єрним доступом до отримання цифрових знань та навичок понад 50% мешканців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безбар’єрним доступом до отримання цифрових знань та навичок понад 75% мешканців</w:t>
            </w:r>
          </w:p>
        </w:tc>
      </w:tr>
      <w:tr w:rsidR="00FC2EB4" w:rsidRPr="00FC2EB4" w:rsidTr="001978F5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забезпечено безбар’єрним доступом до отримання цифрових знань та навичок 100% мешканців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 документальне підтвердження забезпечення мешканців Вашої громади безбар’єрним доступом до отримання цифрових знань та навичок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проводяться заходи із підвищення цифрової грамотності різних суспільних груп мешканців (протягом року). </w:t>
            </w:r>
            <w:r w:rsidR="00F32940" w:rsidRPr="00214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не проводяться заходи із підвищення цифрової грамотності для мешканців</w:t>
            </w:r>
          </w:p>
        </w:tc>
      </w:tr>
      <w:tr w:rsidR="00FC2EB4" w:rsidRPr="00FC2EB4" w:rsidTr="003668F9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1 захід із підвищення цифрової грамотності для мешканці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2-3 заходи із підвищення цифрової грамотності для мешканці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4-5 заходів із підвищення цифрової грамотності для мешканці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6-9 заходів із підвищення цифрової грамотності для мешканці на рік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регулярно проводиться 10 і більше заходів із підвищення цифрової грамотності для мешканці на рік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Надайте,будь ласка, документальне підтвердження проведених заходів із підвищення цифрової грамотності для мешканців Вашої громади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noWrap/>
            <w:hideMark/>
          </w:tcPr>
          <w:p w:rsidR="00FC2EB4" w:rsidRPr="00214B83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214B83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8. Економічна безбар'єрність</w:t>
            </w:r>
          </w:p>
        </w:tc>
      </w:tr>
      <w:tr w:rsidR="00FC2EB4" w:rsidRPr="00FC2EB4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враховуються потреби осіб з інвалідністю при працевлаштуванні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структурах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органів місцевого самоврядування.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3668F9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того, як враховуються потреби осіб з інвалідністю при працевлаштуванні у структурах органів місцевого самоврядування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(посилання на звіт)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діють програми допомоги у працевлаштуванні осіб з інвалідністю.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FC2EB4" w:rsidRPr="00FC2EB4" w:rsidTr="003668F9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таких програм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(посилання на програми)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  наявні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програми підтримки місцевого бізнесу або самозайнятості, зокрема для підтримки різних суспільних груп громади (особи старшого віку, ВПО, особи з інвалідністю). 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3668F9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таких програм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(посилання на програми)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межах громади або поблизу забезпечено наявність філії чинної служби зайнятості.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3668F9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наявності філії чинної служби зайнятості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(посилання)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забезпечено проведення відповідних освітніх заходів (курсів/тренінгів/навчальних програм підвищення кваліфікації, перекваліфікації, покращення навичок тощо) забезпечених доступністю для різних суспільних груп населення громади щорічно.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Виберіть один з варіантів відповіді: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A67F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забезпечено належний рівень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у громаді не проводяться вищевказані освітні заходи забезпечені доступністю для різних суспільних груп населення громади щорічно</w:t>
            </w:r>
          </w:p>
        </w:tc>
      </w:tr>
      <w:tr w:rsidR="00FC2EB4" w:rsidRPr="00FC2EB4" w:rsidTr="003668F9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402B0B" w:rsidP="00A67F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Низький рівень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1 вищевказаний освітній захід забезпечений доступністю для різних суспільних груп населення громади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нижче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2-3 вищевказані освітні заходи забезпечені доступністю для різних суспільних груп населення громади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Середній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4-5 вищевказаних освітніх заходів забезпечених доступністю для різних суспільних груп населення громади на рік </w:t>
            </w:r>
          </w:p>
        </w:tc>
      </w:tr>
      <w:tr w:rsidR="00FC2EB4" w:rsidRPr="00FC2EB4" w:rsidTr="00D977A6">
        <w:trPr>
          <w:trHeight w:val="660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Рівень вище середнього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громаді проводиться 6-9 вищевказаних освітніх заходів забезпечених доступністю для різних суспільних груп населення громади на рік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Високий рівень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громаді регулярно проводиться більше 10 вищевказаних освітніх заходів забезпечених доступністю для різних суспільних груп населення громади на рік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Надайте, будь ласка, документальне підтвердження кількості проведених заходів 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 (посилання)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:rsidR="00FC2EB4" w:rsidRPr="00FC2EB4" w:rsidRDefault="00FC2EB4" w:rsidP="00A67F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громаді забезпечено доступ та інформування щодо наявних програм отримання грантів/субсидій для працевлаштування різних суспільних груп населення (особи старшого віку, ВПО, особи з інвалідністю). 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3668F9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100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D977A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Надайте, будь ласка, документальне підтвердження забезпеченого доступу та інформування щодо наявних програм отримання грантів/субсидій для працевлаштування різних суспільних груп Вашої громади (особи старшого віку, ВПО, особи з інвалідністю) 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 (посилання)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9062" w:type="dxa"/>
            <w:hideMark/>
          </w:tcPr>
          <w:p w:rsidR="00FC2EB4" w:rsidRPr="00FC2EB4" w:rsidRDefault="00FC2EB4" w:rsidP="00A67F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доступні високоякісні робочі місця для різних суспільних груп населення.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3668F9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документальне підтвердження наявних доступних високоякісних робочих місць для різних суспільних груп мешканців Вашої громади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 (посилання)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надаються мікрокредити та/або інша підтримка підприємництва для різних суспільних груп населення.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варіантів:</w:t>
            </w:r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3668F9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Надайте, будь ласка, документальне підтвердження надання мікрокредитів та/або іншої пітримки підприємництва різним суспільним групам мешканців Вашої громади</w:t>
            </w:r>
            <w:r w:rsidR="00A67F90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 (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r w:rsidR="00A67F90" w:rsidRPr="0021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громаді діють програми підтримки жінок-підприємиць. Відповідь, будь ласка, оберіть із поданих нижче 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варіантів:</w:t>
            </w:r>
          </w:p>
        </w:tc>
      </w:tr>
      <w:tr w:rsidR="00FC2EB4" w:rsidRPr="00FC2EB4" w:rsidTr="003668F9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shd w:val="clear" w:color="auto" w:fill="70AD47" w:themeFill="accent6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ні </w:t>
            </w:r>
            <w:r w:rsidR="00A6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FC2EB4" w:rsidRPr="00FC2EB4" w:rsidTr="00D977A6">
        <w:trPr>
          <w:trHeight w:val="345"/>
        </w:trPr>
        <w:tc>
          <w:tcPr>
            <w:tcW w:w="704" w:type="dxa"/>
            <w:vMerge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так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:rsidTr="00D977A6">
        <w:trPr>
          <w:trHeight w:val="675"/>
        </w:trPr>
        <w:tc>
          <w:tcPr>
            <w:tcW w:w="704" w:type="dxa"/>
            <w:hideMark/>
          </w:tcPr>
          <w:p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Надайте, будь ласка, перелік програм підтримки жінок-підприємиць у Вашій громаді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 (посилання на перелік програм)</w:t>
            </w:r>
          </w:p>
        </w:tc>
      </w:tr>
    </w:tbl>
    <w:p w:rsidR="00FC2EB4" w:rsidRDefault="00FC2EB4" w:rsidP="00FC2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90" w:rsidRPr="00D977A6" w:rsidRDefault="00D977A6" w:rsidP="00A67F90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«___» _________ 202__ р</w:t>
      </w:r>
      <w:r w:rsidR="00A67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977A6" w:rsidRPr="00D977A6" w:rsidRDefault="00D977A6" w:rsidP="00D977A6">
      <w:pPr>
        <w:spacing w:after="0"/>
        <w:ind w:left="6663"/>
        <w:rPr>
          <w:rFonts w:ascii="Times New Roman" w:hAnsi="Times New Roman" w:cs="Times New Roman"/>
          <w:sz w:val="18"/>
          <w:szCs w:val="18"/>
        </w:rPr>
      </w:pPr>
    </w:p>
    <w:sectPr w:rsidR="00D977A6" w:rsidRPr="00D977A6" w:rsidSect="00A67F90">
      <w:headerReference w:type="default" r:id="rId11"/>
      <w:pgSz w:w="12240" w:h="15840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5A" w:rsidRDefault="001A1F5A" w:rsidP="00A67F90">
      <w:pPr>
        <w:spacing w:after="0" w:line="240" w:lineRule="auto"/>
      </w:pPr>
      <w:r>
        <w:separator/>
      </w:r>
    </w:p>
  </w:endnote>
  <w:endnote w:type="continuationSeparator" w:id="0">
    <w:p w:rsidR="001A1F5A" w:rsidRDefault="001A1F5A" w:rsidP="00A6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5A" w:rsidRDefault="001A1F5A" w:rsidP="00A67F90">
      <w:pPr>
        <w:spacing w:after="0" w:line="240" w:lineRule="auto"/>
      </w:pPr>
      <w:r>
        <w:separator/>
      </w:r>
    </w:p>
  </w:footnote>
  <w:footnote w:type="continuationSeparator" w:id="0">
    <w:p w:rsidR="001A1F5A" w:rsidRDefault="001A1F5A" w:rsidP="00A6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775670992"/>
      <w:docPartObj>
        <w:docPartGallery w:val="Page Numbers (Top of Page)"/>
        <w:docPartUnique/>
      </w:docPartObj>
    </w:sdtPr>
    <w:sdtContent>
      <w:p w:rsidR="00214B83" w:rsidRPr="00A67F90" w:rsidRDefault="00214B83">
        <w:pPr>
          <w:pStyle w:val="a4"/>
          <w:jc w:val="center"/>
          <w:rPr>
            <w:rFonts w:ascii="Times New Roman" w:hAnsi="Times New Roman" w:cs="Times New Roman"/>
          </w:rPr>
        </w:pPr>
        <w:r w:rsidRPr="00A67F90">
          <w:rPr>
            <w:rFonts w:ascii="Times New Roman" w:hAnsi="Times New Roman" w:cs="Times New Roman"/>
          </w:rPr>
          <w:fldChar w:fldCharType="begin"/>
        </w:r>
        <w:r w:rsidRPr="00A67F90">
          <w:rPr>
            <w:rFonts w:ascii="Times New Roman" w:hAnsi="Times New Roman" w:cs="Times New Roman"/>
          </w:rPr>
          <w:instrText>PAGE   \* MERGEFORMAT</w:instrText>
        </w:r>
        <w:r w:rsidRPr="00A67F90">
          <w:rPr>
            <w:rFonts w:ascii="Times New Roman" w:hAnsi="Times New Roman" w:cs="Times New Roman"/>
          </w:rPr>
          <w:fldChar w:fldCharType="separate"/>
        </w:r>
        <w:r w:rsidR="003668F9" w:rsidRPr="003668F9">
          <w:rPr>
            <w:rFonts w:ascii="Times New Roman" w:hAnsi="Times New Roman" w:cs="Times New Roman"/>
            <w:noProof/>
            <w:lang w:val="ru-RU"/>
          </w:rPr>
          <w:t>3</w:t>
        </w:r>
        <w:r w:rsidRPr="00A67F90">
          <w:rPr>
            <w:rFonts w:ascii="Times New Roman" w:hAnsi="Times New Roman" w:cs="Times New Roman"/>
          </w:rPr>
          <w:fldChar w:fldCharType="end"/>
        </w:r>
      </w:p>
    </w:sdtContent>
  </w:sdt>
  <w:p w:rsidR="00214B83" w:rsidRDefault="00214B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4"/>
    <w:rsid w:val="000138C6"/>
    <w:rsid w:val="00091DAD"/>
    <w:rsid w:val="001978F5"/>
    <w:rsid w:val="001A1F5A"/>
    <w:rsid w:val="00214B83"/>
    <w:rsid w:val="002C24DE"/>
    <w:rsid w:val="003668F9"/>
    <w:rsid w:val="003B163A"/>
    <w:rsid w:val="003B7B00"/>
    <w:rsid w:val="00402B0B"/>
    <w:rsid w:val="004965D5"/>
    <w:rsid w:val="004B0966"/>
    <w:rsid w:val="00611507"/>
    <w:rsid w:val="00613D09"/>
    <w:rsid w:val="00621A47"/>
    <w:rsid w:val="00690560"/>
    <w:rsid w:val="0071605E"/>
    <w:rsid w:val="0079274B"/>
    <w:rsid w:val="007E7A33"/>
    <w:rsid w:val="00866B21"/>
    <w:rsid w:val="00A67F90"/>
    <w:rsid w:val="00B05CA4"/>
    <w:rsid w:val="00B20385"/>
    <w:rsid w:val="00B42F07"/>
    <w:rsid w:val="00B74953"/>
    <w:rsid w:val="00CA605E"/>
    <w:rsid w:val="00D82CF6"/>
    <w:rsid w:val="00D977A6"/>
    <w:rsid w:val="00E84C37"/>
    <w:rsid w:val="00ED13A2"/>
    <w:rsid w:val="00F1016E"/>
    <w:rsid w:val="00F32940"/>
    <w:rsid w:val="00F50873"/>
    <w:rsid w:val="00F54DD4"/>
    <w:rsid w:val="00F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31F4B-F4F8-420D-97B1-40CE2BD0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2">
    <w:name w:val="Grid Table 1 Light Accent 2"/>
    <w:basedOn w:val="a1"/>
    <w:uiPriority w:val="46"/>
    <w:rsid w:val="00FC2EB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FC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F90"/>
    <w:rPr>
      <w:lang w:val="uk-UA"/>
    </w:rPr>
  </w:style>
  <w:style w:type="paragraph" w:styleId="a6">
    <w:name w:val="footer"/>
    <w:basedOn w:val="a"/>
    <w:link w:val="a7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F90"/>
    <w:rPr>
      <w:lang w:val="uk-UA"/>
    </w:rPr>
  </w:style>
  <w:style w:type="character" w:styleId="a8">
    <w:name w:val="Hyperlink"/>
    <w:basedOn w:val="a0"/>
    <w:uiPriority w:val="99"/>
    <w:unhideWhenUsed/>
    <w:rsid w:val="00214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chynska-gromada.gov.ua/news/173987034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un.ua/misto/barrier-free/mindev-2025?l=3ffffe#12.87/48.67322/28.87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prominnadii.tulch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lchynska-gromada.gov.ua/zviti-pro-vikonannya-pasportiv-bjudzhetnih-program-10-57-40-03-10-2023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BF44-3879-4CA2-80A5-EE0A680E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47743</Words>
  <Characters>27214</Characters>
  <Application>Microsoft Office Word</Application>
  <DocSecurity>0</DocSecurity>
  <Lines>226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arch bud</cp:lastModifiedBy>
  <cp:revision>2</cp:revision>
  <dcterms:created xsi:type="dcterms:W3CDTF">2025-08-11T07:53:00Z</dcterms:created>
  <dcterms:modified xsi:type="dcterms:W3CDTF">2025-08-11T07:53:00Z</dcterms:modified>
</cp:coreProperties>
</file>