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B4" w:rsidRPr="00FC2EB4" w:rsidRDefault="00FC2EB4" w:rsidP="00FC2EB4">
      <w:pPr>
        <w:jc w:val="right"/>
        <w:rPr>
          <w:rFonts w:ascii="Times New Roman" w:hAnsi="Times New Roman" w:cs="Times New Roman"/>
          <w:sz w:val="28"/>
          <w:szCs w:val="28"/>
        </w:rPr>
      </w:pPr>
      <w:r w:rsidRPr="00FC2EB4">
        <w:rPr>
          <w:rFonts w:ascii="Times New Roman" w:hAnsi="Times New Roman" w:cs="Times New Roman"/>
          <w:sz w:val="28"/>
          <w:szCs w:val="28"/>
        </w:rPr>
        <w:t>Проект</w:t>
      </w:r>
    </w:p>
    <w:p w:rsidR="00B42F07" w:rsidRPr="00A67F90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0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C2EB4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0">
        <w:rPr>
          <w:rFonts w:ascii="Times New Roman" w:hAnsi="Times New Roman" w:cs="Times New Roman"/>
          <w:b/>
          <w:sz w:val="28"/>
          <w:szCs w:val="28"/>
        </w:rPr>
        <w:t>Індекс безбар’єрності територіальної громади</w:t>
      </w:r>
    </w:p>
    <w:p w:rsidR="00663599" w:rsidRDefault="00D82CF6" w:rsidP="00FC2E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66359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Тиврівська територіальна громада </w:t>
      </w:r>
    </w:p>
    <w:p w:rsidR="00D82CF6" w:rsidRPr="00A67F90" w:rsidRDefault="00663599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Вінницького району Вінницької області</w:t>
      </w:r>
      <w:r w:rsidR="00D82CF6">
        <w:rPr>
          <w:rFonts w:ascii="Times New Roman" w:hAnsi="Times New Roman" w:cs="Times New Roman"/>
          <w:b/>
          <w:sz w:val="28"/>
          <w:szCs w:val="28"/>
        </w:rPr>
        <w:t xml:space="preserve">__ </w:t>
      </w:r>
    </w:p>
    <w:p w:rsidR="00A67F90" w:rsidRPr="000138C6" w:rsidRDefault="00D82CF6" w:rsidP="00B20385">
      <w:pPr>
        <w:jc w:val="center"/>
        <w:rPr>
          <w:rFonts w:ascii="Times New Roman" w:hAnsi="Times New Roman" w:cs="Times New Roman"/>
          <w:sz w:val="20"/>
          <w:szCs w:val="20"/>
        </w:rPr>
      </w:pPr>
      <w:r w:rsidRPr="000138C6">
        <w:rPr>
          <w:rFonts w:ascii="Times New Roman" w:hAnsi="Times New Roman" w:cs="Times New Roman"/>
          <w:sz w:val="20"/>
          <w:szCs w:val="20"/>
        </w:rPr>
        <w:t>(назва територіальної громади, область</w:t>
      </w:r>
      <w:r w:rsidR="000138C6">
        <w:rPr>
          <w:rFonts w:ascii="Times New Roman" w:hAnsi="Times New Roman" w:cs="Times New Roman"/>
          <w:sz w:val="20"/>
          <w:szCs w:val="20"/>
        </w:rPr>
        <w:t>/м. Київ</w:t>
      </w:r>
      <w:r w:rsidRPr="000138C6">
        <w:rPr>
          <w:rFonts w:ascii="Times New Roman" w:hAnsi="Times New Roman" w:cs="Times New Roman"/>
          <w:sz w:val="20"/>
          <w:szCs w:val="20"/>
        </w:rPr>
        <w:t>)</w:t>
      </w:r>
    </w:p>
    <w:p w:rsidR="00B20385" w:rsidRPr="00A67F90" w:rsidRDefault="00B20385" w:rsidP="00B2038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7F90">
        <w:rPr>
          <w:rFonts w:ascii="Times New Roman" w:hAnsi="Times New Roman" w:cs="Times New Roman"/>
          <w:i/>
          <w:sz w:val="24"/>
          <w:szCs w:val="24"/>
        </w:rPr>
        <w:t xml:space="preserve">Шановні представники </w:t>
      </w:r>
      <w:r w:rsidR="00A67F90">
        <w:rPr>
          <w:rFonts w:ascii="Times New Roman" w:hAnsi="Times New Roman" w:cs="Times New Roman"/>
          <w:i/>
          <w:sz w:val="24"/>
          <w:szCs w:val="24"/>
        </w:rPr>
        <w:t xml:space="preserve">територіальної </w:t>
      </w:r>
      <w:r w:rsidRPr="00A67F90">
        <w:rPr>
          <w:rFonts w:ascii="Times New Roman" w:hAnsi="Times New Roman" w:cs="Times New Roman"/>
          <w:i/>
          <w:sz w:val="24"/>
          <w:szCs w:val="24"/>
        </w:rPr>
        <w:t>громади!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З метою встановлення рівня доступності у вашій громаді просимо вас надати відповідь на наведені нижче запитання. 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Звертаємо вашу увагу, що запитання сформульовані у вигляді тез, які вам потрібно: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1) або оцінити</w:t>
      </w:r>
      <w:r w:rsidR="00402B0B">
        <w:rPr>
          <w:rFonts w:ascii="Times New Roman" w:hAnsi="Times New Roman" w:cs="Times New Roman"/>
          <w:sz w:val="24"/>
          <w:szCs w:val="24"/>
        </w:rPr>
        <w:t xml:space="preserve"> та обрати із запропонованих</w:t>
      </w:r>
      <w:r w:rsidR="003B7B00">
        <w:rPr>
          <w:rFonts w:ascii="Times New Roman" w:hAnsi="Times New Roman" w:cs="Times New Roman"/>
          <w:sz w:val="24"/>
          <w:szCs w:val="24"/>
        </w:rPr>
        <w:t xml:space="preserve"> варіантів</w:t>
      </w:r>
      <w:r w:rsidR="00402B0B">
        <w:rPr>
          <w:rFonts w:ascii="Times New Roman" w:hAnsi="Times New Roman" w:cs="Times New Roman"/>
          <w:sz w:val="24"/>
          <w:szCs w:val="24"/>
        </w:rPr>
        <w:t xml:space="preserve"> рівень</w:t>
      </w:r>
      <w:r w:rsidR="00402B0B" w:rsidRPr="00A67F90">
        <w:rPr>
          <w:rFonts w:ascii="Times New Roman" w:hAnsi="Times New Roman" w:cs="Times New Roman"/>
          <w:sz w:val="24"/>
          <w:szCs w:val="24"/>
        </w:rPr>
        <w:t xml:space="preserve">, який найбільше відповідає реальній ситуації у громаді </w:t>
      </w:r>
      <w:r w:rsidRPr="00A67F90">
        <w:rPr>
          <w:rFonts w:ascii="Times New Roman" w:hAnsi="Times New Roman" w:cs="Times New Roman"/>
          <w:sz w:val="24"/>
          <w:szCs w:val="24"/>
        </w:rPr>
        <w:t>(кожен рівень описано орієнтовн</w:t>
      </w:r>
      <w:r w:rsidR="00402B0B">
        <w:rPr>
          <w:rFonts w:ascii="Times New Roman" w:hAnsi="Times New Roman" w:cs="Times New Roman"/>
          <w:sz w:val="24"/>
          <w:szCs w:val="24"/>
        </w:rPr>
        <w:t>ими альтернативними варіантами;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2) або погодитися чи спростувати відповідну тезу (надати відповідь “так” або “ні”). 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Також звертаємо вашу увагу, що після кожного питання знаходиться примітка про документальне підтвердження щодо його змісту. Ви надаєте посилання на таку інформацію, за умови її наяності. Якщо інформамація відсутня - залишаєте поле пустим. Адже набільш точно обрати той чи інший рівень ви зможете лише у випадку, коли будете володіти необхідною інформацією, яку можна отримати із різних джерел за вашим вибором (звіти, результати опитування в громаді тощо)</w:t>
      </w:r>
    </w:p>
    <w:p w:rsidR="00B20385" w:rsidRPr="00FC2EB4" w:rsidRDefault="00B20385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9062"/>
      </w:tblGrid>
      <w:tr w:rsidR="00FC2EB4" w:rsidRPr="00FC2EB4" w:rsidTr="00F50873">
        <w:trPr>
          <w:trHeight w:val="360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Фізична доступність просторів, адміністративних будівель та транспорту</w:t>
            </w:r>
          </w:p>
        </w:tc>
      </w:tr>
      <w:tr w:rsidR="00FC2EB4" w:rsidRPr="00FC2EB4" w:rsidTr="00D977A6">
        <w:trPr>
          <w:trHeight w:val="1080"/>
        </w:trPr>
        <w:tc>
          <w:tcPr>
            <w:tcW w:w="704" w:type="dxa"/>
            <w:vMerge w:val="restart"/>
            <w:noWrap/>
            <w:hideMark/>
          </w:tcPr>
          <w:p w:rsidR="00FC2EB4" w:rsidRPr="00B20385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20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проводиться моніторинг бар'єрів у публічному просторі (будівлі, тротуари, зупинки тощо).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ED13A2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 (за наявності) звіт за результатами проведеного моніторингу наявних бар'єрів у Вашій громаді ___________________________  (посилання на звіт)</w:t>
            </w:r>
          </w:p>
        </w:tc>
      </w:tr>
      <w:tr w:rsidR="00FC2EB4" w:rsidRPr="00FC2EB4" w:rsidTr="00D977A6">
        <w:trPr>
          <w:trHeight w:val="975"/>
        </w:trPr>
        <w:tc>
          <w:tcPr>
            <w:tcW w:w="704" w:type="dxa"/>
            <w:vMerge w:val="restart"/>
            <w:noWrap/>
            <w:hideMark/>
          </w:tcPr>
          <w:p w:rsid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  <w:p w:rsidR="00FB696A" w:rsidRDefault="00FB696A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96A" w:rsidRPr="00FB696A" w:rsidRDefault="00FB696A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402B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Громадський тра</w:t>
            </w:r>
            <w:r w:rsidR="004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спорт доступний для людей з порушеннями функціонування та інших маломобільних груп населення.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Не забезпечено належний рівень</w:t>
            </w:r>
            <w:r w:rsidR="00FB69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транспорт не пристосований для потреб маломобільних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відсутні будь-які пристосування (пандуси, низька підлога, фіксатори крісел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колісних тощо)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пристосовані лише окремі одиниці транспорту (менше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доступність носить фрагментарний характер (наприклад, на маршруті лише 1-2 автобуси мають фіксатори для крісел колісних та низьку підлогу)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відповідні адаптації в переважній більшості несправні, застарілі або незручні для використання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Нижче середнього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25–50% транспорту має базові пристосування (також, наприклад, доступний транспорт є на окремих маршрутах або в певні години, але без охоплення більшості)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відсутній системний підхід до забезпечення доступності транспорту та оновлення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пристосування досить часто несправні, застарілі або незручні для використання</w:t>
            </w:r>
          </w:p>
        </w:tc>
      </w:tr>
      <w:tr w:rsidR="00FC2EB4" w:rsidRPr="00FC2EB4" w:rsidTr="00D977A6">
        <w:trPr>
          <w:trHeight w:val="698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половину (понад 50%) транспортних засобів базово пристосовано для маломобільних осіб (наприклад, 6 із 10 автобусів мають пандуси, кнопки виклику водія, місця для крісел колісних)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є системний підхід до оновлення та використання доступного транспорту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деякі адаптації можуть бути несправні, застарілі або незручні для використання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 середнього рівня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більшість транспорту (понад 75%) має комплексне обладнання для маломобільних груп (наприклад, 9 із 10 автобусів мають пандуси, кнопки виклику водія, місця для крісел колісних; (пандуси, низька підлога, фіксатори крісел колісних, аудіо/візуальна навігація тощо)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системний підхід до забезпечення доступності транспорту та оновлення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окремі пристосування можуть мати незначні пошкодження, однак громада забезпечує їх оперативне виявлення, ремонт або заміну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увесь (100%) транспорт на маршруті або в мережі відповідає вимогам доступності (наприклад, усі 10 з 10 автобусів мають комплексні пристосування)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забезпечено системну та стійку доступність на рівні інфраструктури, навчання водіїв та технічного обслуговування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випадки пошкодшень, несправностей або зношення фіксуються та усуваються без затримки згідно з визначеними стандартами обслуговування.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62" w:type="dxa"/>
            <w:hideMark/>
          </w:tcPr>
          <w:p w:rsidR="00FC2EB4" w:rsidRPr="00ED13A2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 (за наявності) документальне підтвердження доступності громадського траспорту для осіб з порушеннями функціонування та інших маломобільних груп </w:t>
            </w:r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населення (зокрема, розрахунку відсотків) __________________ (посилання на звіт)</w:t>
            </w:r>
          </w:p>
        </w:tc>
      </w:tr>
      <w:tr w:rsidR="00FC2EB4" w:rsidRPr="00FC2EB4" w:rsidTr="00D977A6">
        <w:trPr>
          <w:trHeight w:val="103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Громадські зони забезпечено зручними лавками, пішохідними доріжками з рівним покриттям, доступними туалетами, паркувальними місцями з елементами доступності.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232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 громадських зонах відсутні або повністю недоступні: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лавки (наприклад, немає або незручні для осіб з порушенням функціонування),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доступні туалети (наприклад, жодного громадського туалету з безбар’єрним входом),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рівні пішохідні доріжки (напркилад, наявне ґрунтове або вибоїсте покриття),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паркувальні місця з елементами доступності (наприклад, відсутні).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немає жодного простору, який би враховував потреби осіб з інвалідністю чи маломобільних груп населення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б) </w:t>
            </w:r>
            <w:r w:rsidR="00091DAD"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Низький рівень</w:t>
            </w:r>
            <w:r w:rsidR="00FB69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лише окремі об’єкти або зони (менше 25%) мають поодинокі елементи доступності (наприклад, наявні лише одна-дві зручні лавки на всі громадські простори; одна доступна вбиральня, решта – звичайні; паркомісця для осіб з інвалідністю або не позначені, або зайняті сторонніми авто; доріжки мають ділянки з небезпечними нерівностями)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більшість елементів несправні, застарілі або незручні для використання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відсутній системний підхід до розміщення доступних рішень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25% громадських зон мають окремі елементи безбар’єрного облаштування (наприклад, частина зон має доступні доріжки або туалети, але без зв’язку між ними; лавки без підлокітників, вузькі проходи, немає зручної навігації)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окремі зони можуть бути пристосовані, але частково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якомучастина елементів досить часто  несправні, застарілі або незручні для використання</w:t>
            </w:r>
          </w:p>
        </w:tc>
      </w:tr>
      <w:tr w:rsidR="00FC2EB4" w:rsidRPr="00FC2EB4" w:rsidTr="00D977A6">
        <w:trPr>
          <w:trHeight w:val="231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Середній рівень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50% громадських зон мають базове облаштування для осіб з інвалідністю та інших маломобільних груп населення (наприклад, туалети із поручнями; лавки з підлокітниками;  рівні, тверді пішохідні доріжки; паркувальні місця з елементами доступності)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перважана більшість адаптацій доглядаються і підтримуються у належному стані, проте деякі можуть бути несправні, застарілі або незручні для використання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простори можуть бути також частково зоновані логічно (зручне розташування длстурних туалетів, лавок і паркомісць)</w:t>
            </w:r>
          </w:p>
        </w:tc>
      </w:tr>
      <w:tr w:rsidR="00FC2EB4" w:rsidRPr="00FC2EB4" w:rsidTr="00866B21">
        <w:trPr>
          <w:trHeight w:val="699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75% громадських зон у громаді облаштовано з урахуванням потреб осіб з інвалідністю та інших маломобільних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– наявні комплексні елементи доступності (наприклад, зручні лавки з підлокітниками, пандуси, доступні туалети, рівні, тверді пішохідні доріжки з достатньою шириною; марковані паркувальні місця з елементами доступності)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розміщення елементів логічне та зручне: наприклад, зони комфорту (туалети, лавки, паркомісця) розміщено поруч одна з одною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більшість елементів є новими або відремонтованими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наявні незначні пошкодження/несправності окремих адаптацій, які вчасно ремонтуються/замінюються</w:t>
            </w:r>
          </w:p>
        </w:tc>
      </w:tr>
      <w:tr w:rsidR="00FC2EB4" w:rsidRPr="00FC2EB4" w:rsidTr="00D977A6">
        <w:trPr>
          <w:trHeight w:val="232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усі громадські зони (100%) пристосовано до потреб осіб з інвалідністю та інших маломобільних груп населення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усі громадські зони облаштовано та зоновано з урахуванням принципів універсального дизайну та функціональних доступних рішень (всі зони мають комплексні, функціональні рішення, які охоплюють потреби людей з порушеннями зору, слуху, опорно-рухового апарату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доступність забезпечена на рівні навігації та зонування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наявна система моніторингу та технічного обслуговування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усі випадки пошкодшень, несправностей або зношення фіксуються та усуваються без затримки згідно з визначеними стандартами обслуговування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документальне підтвердження забезпечення зручними лавками, пішохідними доріжками з рівним покриттям, доступними туалетами, паркувальними місцями з елементами доступності громадських місць Вашої громади (зокрема, розрахунку відсотків)</w:t>
            </w:r>
            <w:r w:rsid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402B0B">
        <w:trPr>
          <w:trHeight w:val="507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663599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Громадські</w:t>
            </w:r>
            <w:r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зони</w:t>
            </w:r>
            <w:r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r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освітленням</w:t>
            </w:r>
            <w:r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Виберіть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один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відповіді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663599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громадські простори не освітлюються в темний час доби або систематичне освітлення відсутнє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джерела освітлення наявні лише в окремих зонах (менше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можливим є також варіант, при якому джерела освітлення в переважній більшості несправні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r w:rsidR="003B7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світлення наявні у понад 25% зон, однак розташовані можуть бути нерівномірно, поодиноко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освітлення може бути слабким, не освтілювати всі зони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r w:rsidR="00091DAD"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 рівень</w:t>
            </w:r>
            <w:r w:rsidR="00FB69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  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більшості зон (понад 50%) забезпечено освітлення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джерела освітлення логічно розміщені та в переважній більшості є справними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освітленням забезпечено переважну більшість простору громадських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зон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більшість громадських зон (понад 75%) забезпечено якісним, рівномірним освітленням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освітлюються ключові маршрути переміщення, зони очікування, входи до публічних будівель, пішохідні доріжки та паркувальні місця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більшість джерел освітлення знаходяться в справному стані, можуть мати незначні пошкодження, а у разі несправності - передбачено систему оперативного ремонту або заміни</w:t>
            </w:r>
          </w:p>
        </w:tc>
      </w:tr>
      <w:tr w:rsidR="00FC2EB4" w:rsidRPr="00FC2EB4" w:rsidTr="00D977A6">
        <w:trPr>
          <w:trHeight w:val="199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громадські простори (100%) мають якісне освітлення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освітленням забезпечено всі маршрути громадських зон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наявність освітлення контролюєтьсяя та підтримується стабільна робота його джерел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громаді функціонує механізм моніторингу роботи освітлення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забезпечення громадських зон Вашої громади освітленням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Зупинки громадського транспорту громади обладнані навісами, інформаційними табло та зонами очікування з елементами доступності.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всі наявні зупинки не мають жодного елементу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відсутні навіси, сидіння, інформація про маршрути.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б) </w:t>
            </w:r>
            <w:r w:rsidR="00FC2EB4"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обладнані лише окремі зупинки (менше 25%) або фрагменти зупинок (наприклад, наявні поодинокі навіси, сидіння; інформаційні табло або взагалі відсутні або часто не працюють)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доступними є понад 25% з наявних зупинок (напрклад, є навіси, місця для очікування, подекуди - інформаційні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відсутня системність в облаштуванні зупинок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облаштування зупинок може бути частково пошкодженим або зношеним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зупинок обладнані базовими елементами доступності (наприклад, наявні навіси, лавки, пандуси, інформаційні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 переважній більшості випадків враховані потреби маломобільних груп населення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можуть бути наявні незначні пошкодження елементів облаштування, які вчасно ремонтуються/замінюються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зупинок у громаді обладнано елементами доступності (напркилад, навісами, лавками, пандусами, контрастною розміткою, справними інформаційними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потреби маломобільних груп населення враховано комплексно, у тому числі доступність простору для крісел колісних, людей з тростинами або дитячими візками.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елементи облаштування (сидіння, навіси тощо) підтримуються в належному стані, дрібні пошкодження або зношення вчасно усуваються.</w:t>
            </w:r>
          </w:p>
        </w:tc>
      </w:tr>
      <w:tr w:rsidR="00FC2EB4" w:rsidRPr="00FC2EB4" w:rsidTr="00D977A6">
        <w:trPr>
          <w:trHeight w:val="84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всі зупинки громадського транспорту (100%) відповідають вимогам інклюзивності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враховано потреби всіх груп населення (наприклад, наявна система озвучування інформації з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всі зупинки громадського транспорту бладнано комплексно: навіси, лавки, місця для крісел колісних, пандуси з поручнями, тактильна плитка, контрастна розмітка, інформаційні табло з візуальною та звуковою подачею інформації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елементи облаштування регулярно обслуговується, ремонтуються, оновлюються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функціонує стала система моніторингу, обслуговування і оновлення інфраструктури зупинок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обладнаних навісами зупинок громадського транспорту Вашої громади інформаційними табло та зонами очікування з елементами доступності (зокрема, розрахунку відсотків)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наявна відповідна розмітка, освітлення та маркування з елементами доступності пішохідних переходів у місцях з високим трафіком.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відсутня будь-яка розмітка та/або освітлення на усіх пішохідних переходах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пішохідні переходи важко помітні та складні для орієнтації, особливо в темний час доби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 відсутні будь-які елементами доступності пішохідних переходів у місцях з високим трафіком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б) </w:t>
            </w:r>
            <w:r w:rsidR="00FC2EB4"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Низький рівень</w:t>
            </w:r>
            <w:r w:rsidR="00FB69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менше 25% пішохідних переходів мають стару, стерту або частково знищену розмітку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освітлення часто відсутнє або не працює взагалі (до 25% пішохідних переходів)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відсутні маркування для осіб з порушенням зору</w:t>
            </w:r>
          </w:p>
        </w:tc>
      </w:tr>
      <w:tr w:rsidR="00FC2EB4" w:rsidRPr="00FC2EB4" w:rsidTr="00F32940">
        <w:trPr>
          <w:trHeight w:val="742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25% переходів мають розмітку, що може бути частково стертою або нерівномірно нанесеною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понад 25% переходів мають базове освітлення, однак воно незабезпечує якісне освітлення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тактильні елементи або спеціальні маркування встановлено лише в окремих місцях без єдиного підходу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663599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переходів у зонах з високим трафіком облаштовано розміткою, маркуванням, освітленням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розмітка на більшості переходів (понад 50%) середнього рівня збереження, але частина з них потребує оновлення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впроваджено частковий підхід до врахування потреб маломобільних груп</w:t>
            </w:r>
          </w:p>
        </w:tc>
      </w:tr>
      <w:tr w:rsidR="00FC2EB4" w:rsidRPr="00FC2EB4" w:rsidTr="00D977A6">
        <w:trPr>
          <w:trHeight w:val="698"/>
        </w:trPr>
        <w:tc>
          <w:tcPr>
            <w:tcW w:w="704" w:type="dxa"/>
            <w:vMerge/>
            <w:hideMark/>
          </w:tcPr>
          <w:p w:rsidR="00FC2EB4" w:rsidRPr="00663599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663599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більшість пішохідних переходів (понад 75%) у місцях з високим трафіком облаштовано з урахуванням потреб осіб з інвалідністю та маломобільних груп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наявне якісне освітлення, свіжа, чітка розмітка, а також тактильні елементи для орієнтації осіб з порушенням зору у понад 75%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првило, у разі пошкоджень або зношення елементів забезпечується їх своєчасне відновлення чи заміна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підхід до забезпечення доступності та оновлення пристосувань є системним</w:t>
            </w:r>
          </w:p>
        </w:tc>
      </w:tr>
      <w:tr w:rsidR="00FC2EB4" w:rsidRPr="00FC2EB4" w:rsidTr="00D977A6">
        <w:trPr>
          <w:trHeight w:val="1665"/>
        </w:trPr>
        <w:tc>
          <w:tcPr>
            <w:tcW w:w="704" w:type="dxa"/>
            <w:vMerge/>
            <w:hideMark/>
          </w:tcPr>
          <w:p w:rsidR="00FC2EB4" w:rsidRPr="00663599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663599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="00091DAD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переходи (100%) в місцях із трафіком  відповідають вимогам інклюзивності та універсального дизайну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встановлено якісне освітлення, яскраву та оновлену розмітку, контрастні елементи, тактильну плитку, зручну навігацію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всі елементи підтримується в належному стані, ремонтуються, оновлюються без затримок</w:t>
            </w:r>
            <w:r w:rsidR="00FC2EB4" w:rsidRPr="0066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доступність переходів враховується під час поточних ремонтів і реконструкцій дорожньої інфраструктури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663599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наявної відповідної розмітки, освітлення та маркування з елементами доступності пішохідних переходів у місцях з високим трафіком у Вашій громаді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Світлофори громади забезпечено елементами оповіщення для осіб з порушенням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зору.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усі світлофори не мають жодних елементів звукового оповіщення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орієнтація для осіб із порушенням зору є вркай ускладненою чи недоступною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жодних заходів щодо врахування інклюзивності на рівні світлофорної інфраструктури не передбачено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менше 25% світлофорів (наприколад, лише 1–2 світлофори) мають звукове оповіщення, або вони часто не працюють або встановлені хаотично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розміщення таких пристроїв не враховує зони пріоритетного пішохідного руху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відсутня система обслуговування таких пристроїв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25% світлофорів мають звукове оповіщення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елементи доступності досить часто неузгоджені або несправні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 як правило, розміщення таких пристроїв частково враховує зони пріоритетного пішохідного руху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 можливим є також варіант, при якому роботи з  обслуговування таких пристроїв проводяться епізодично</w:t>
            </w:r>
          </w:p>
        </w:tc>
      </w:tr>
      <w:tr w:rsidR="00FC2EB4" w:rsidRPr="00FC2EB4" w:rsidTr="00D977A6">
        <w:trPr>
          <w:trHeight w:val="231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світлофорів у громаді обладнано функціональними системами звукового оповіщення, які допомагають орієнтуватися особам з порушенням зору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пріоритет розміщення таких пристроїв надано у районах з інтенсивним трафіком та пішохідним маршрутам загального користування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частина систем може бути несправною або працювати нестабільно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ремонт здійснюється переважно за зверненнями громадян, а не на основі регулярного моніторингу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світлофорів у громаді обладнано функціональними системами звукового оповіщення, які допомагають орієнтуватися особам з порушенням зору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пріоритет надано зонам з інтенсивним рухом, поруч із громадськими установами, школами та зупинками транспорту.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усі елементи змонтовані з урахуванням просторової логіки руху пішоходів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у разі несправностей або пошкоджень вживаються оперативні заходи щодо ремонту чи заміни</w:t>
            </w:r>
          </w:p>
        </w:tc>
      </w:tr>
      <w:tr w:rsidR="00FC2EB4" w:rsidRPr="00FC2EB4" w:rsidTr="00D977A6">
        <w:trPr>
          <w:trHeight w:val="199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світлофори (100%)  у громаді обладнано функціональними системами звукового оповіщення, які допомагають орієнтуватися особам з порушенням зору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відповідні системи перевіряються й обслуговуються регулярно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звукові сигнали мають регульовану гучність відповідно до рівня шуму в навколишньому середовищі (адаптивна система)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впроваджено систему планового технічного обслуговування, моніторингу та превентивного ремонту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забезпечення світлофорів елементами оповіщення для осіб з порушенням зору у Вашій громаді (зокрема, розрахунку відсотків)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Публічні простори та адмінбудівлі доступні для маломобільних груп.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091DAD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відсутні будь-які пристосування для маломобільних груп населення у публічних просторах та адмінбудівлях (відсутні пандуси, ліфти, широкі проходи, тактильні елементи тощо)</w:t>
            </w:r>
          </w:p>
        </w:tc>
      </w:tr>
      <w:tr w:rsidR="00FC2EB4" w:rsidRPr="00091DAD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 рівень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загальна частка доступних об'єктів - менше 25%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деякі об'єкти мають окремі пристосування, але вони поодинокі й несистемні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пристосування встановлено вибірково, часто за ініціативою окремих установ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0774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доступність забезпечено у частині просторів та адмінбудівель (понад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відсутній системний  підхід до забезпечення доступності та оновлення пристосувань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доступ є обмеженим, особливо у громадських місцях з великим потоком людей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переважна більшість публічних просторва та адмінбудівель (понад 50%) мають необхідні пристосування для маломобільних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доступ забезпечено системно (наявні пандуси, ліфти, широкі проходи, тактильні елементи, навігація, доступні туалети тощо)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можуть враховуватися не всі потреби осіб з порушеннями функціонування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маломобільні групи населення можуть вільно пересуватись більшістю просторів</w:t>
            </w:r>
          </w:p>
        </w:tc>
      </w:tr>
      <w:tr w:rsidR="00FC2EB4" w:rsidRPr="00FC2EB4" w:rsidTr="00D977A6">
        <w:trPr>
          <w:trHeight w:val="264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публічних просторів та адмінбудівель у громаді мають функціональні пристосування для маломобільних груп населення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забезпечено системний підхід до облаштування простору (наприклад, наявні пандуси, ліфти, широкі дверні проходи, поручні, тактильні елементи, адаптовані туалети, частково - візуальна та аудіо навігація)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наявна логіка доступного зонування, наприклад, всі основні сервіси розміщені на доступних поверхах або є ліфт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виявлені пошкодження або зношення елементів доступності ремонтуються в оперативні строки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враховуються потреби різних груп, однак окремі інклюзивні рішення можуть бути неповними або потребувати удосконалення</w:t>
            </w:r>
          </w:p>
        </w:tc>
      </w:tr>
      <w:tr w:rsidR="00FC2EB4" w:rsidRPr="00FC2EB4" w:rsidTr="00D977A6">
        <w:trPr>
          <w:trHeight w:val="199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(100%) публічні простори та адміністративні будівлі громади облаштовано комплексно, згідно з принципами універсального дизайну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враховано потреби всіх осіб з тим чи іншим порушенням функціонування (рух, зір, слух тощо)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передбачено навігацію кількома каналами - зорову, тактильну, аудіо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маломобільні групи населення можуть вільно пересуватись та користуватись усіма функціональними зонами без обмежень чи супроводу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вроваджено систему регулярного моніторингу технічного стану адаптацій, ремонту та оновлення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забезпечення доступності публічних просторів та адмінбудівель у Вашій громаді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 громаді наявні зелені зони (парки, сквери тощо) в рамках пішої доступності із відповідним облаштуванням щодо вимог безбар’рності (10 хв пішки).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 межах пішої доступності (до 10 хвилин ходьби) від житлових масивів відсутні будь-які зелені зони (парки, сквери, громадські сади).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облаштування з урахуванням безбар’єрності (наприклад, відсутні пандуси, доріжки з твердим покритттям, зручні лавки, тактильні елементи, доступні входи)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навколишній простір є непридатним для відпочинку осіб із порушенням функціонування.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 межах 10 хв ходьби наявні лише 1 зелена зона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доступні лише поодинокі елементи безбар’єрності, часто несправні або незручні (наприклад, один пандус, зношені лавки тощо).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вхід може бути важкодоступним або незручним для маломобільних груп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1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в) </w:t>
            </w:r>
            <w:r w:rsidR="00FC2EB4" w:rsidRPr="00FF1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зелені зони в межах пішої доступності наявні, але охоплюють лише частину району (25–50% житлових кварталів)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зони частково облаштовані (наприклад, наявні деякі доступні доріжки, пандуси, лавки, але відсутня системність)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елементи доступності розташовані випадково, частина з них – несправна або не оновлювалась роками</w:t>
            </w:r>
          </w:p>
        </w:tc>
      </w:tr>
      <w:tr w:rsidR="00FC2EB4" w:rsidRPr="00FC2EB4" w:rsidTr="00F32940">
        <w:trPr>
          <w:trHeight w:val="1309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50% жителів громади мають доступ до облаштованих зелених зон у межах 10 хвилин пішої ходи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зелені зони базово пристосовані для осіб з інвалідністю чи маломобільних груп населення (наприклал, є доріжки з твердим покриттям, пандуси, лавки з підлокітниками, частково - доступні туалети)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може бракувати окремих елементів доступності  (наприклад, тактильних елементів, навігації, логіки зонування)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виявлені несправності усуваються, але системного контролю або моніторингу немає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населення громади мають регулярний доступ до зелених зон із комплексними елементами доступності (у радіусі 10 хв ходьби)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зелені зони облаштовані системно (наприклад, є доступні входи, доріжки з твердим, рівним покриттям, зручні лавки з підлокотниками, доступні туалети, частково – тактильна навігація, зони затінення)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забезпечено логічне зонування, зручні маршрути для осіб з різними типами порушень.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несправності усуваються оперативно</w:t>
            </w:r>
          </w:p>
        </w:tc>
      </w:tr>
      <w:tr w:rsidR="00FC2EB4" w:rsidRPr="00FC2EB4" w:rsidTr="00D977A6">
        <w:trPr>
          <w:trHeight w:val="199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житлові квартали громади мають зелені зони в межах 10-хвилинної пішої доступності, повністю облаштовані за принципами універсального дизайну.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зонах є єдоступні входи, доріжки з твердим, рівним покриттям, зручні лавки з підлокотниками, доступні туалети, тактильна навігація, зони затінення, сенсорні доріжки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елементи підтримуються в належному стані, є система регулярного технічного обслуговування та моніторингу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зелені зони є інклюзивними, безпечними та комфортними для всіх суспільних груп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наявності зелених зони (парки, сквери тощо) в рамках пішої доступності із відповідним облаштуванням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45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60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Участь мешканців у прийнятті рішень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працює механізм залучення різних суспільних груп (жінок, молоді, ВПО, осіб з інвалідністю) до прийняття рішень, які стосуються життя у Вашій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громаді, з рекомендованою мінімальною частотою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 раз на 1 квартал.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D977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відсутній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прийняття рішень, які стосуються життя у Вашій громаді</w:t>
            </w:r>
          </w:p>
        </w:tc>
      </w:tr>
      <w:tr w:rsidR="00FC2EB4" w:rsidRPr="00D977A6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з частотою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на рік</w:t>
            </w:r>
          </w:p>
        </w:tc>
      </w:tr>
      <w:tr w:rsidR="00FC2EB4" w:rsidRPr="00D977A6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1 раз на 3 квартали </w:t>
            </w:r>
            <w:r w:rsidR="00FC2EB4" w:rsidRPr="00D9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D977A6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 рівень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1 раз на 2 квартали року </w:t>
            </w:r>
          </w:p>
        </w:tc>
      </w:tr>
      <w:tr w:rsidR="00FC2EB4" w:rsidRPr="00D977A6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сцспільних груп (жінок, молоді, ВПО, людей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1 раз на 1 квартал року </w:t>
            </w:r>
          </w:p>
        </w:tc>
      </w:tr>
      <w:tr w:rsidR="00FC2EB4" w:rsidRPr="00D977A6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прийняття рішень, які стосуються життя у Вашій громаді щомісячно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наявного механізму залучення різних суспільних груп до прийняття рішень, які стосуються життя Вашої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Проводяться регулярні публічні консультації з питань безбар’єрності та інклюзії, з рекомендованою мінімальною частотою 1 раз на 1 квартал.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відсутнє проведення регулярних публічних консультацій з питань безбар’єрності та інклюзії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проведення публічних консультацій протягом 1-го кварталу року (1 раз на рік)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проведення публічних консультацій протягом 2-х кварталів року (2 рази на рік)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проведення публічних консультацій протягом 3-х кварталів року (3 рази на рік)</w:t>
            </w:r>
          </w:p>
        </w:tc>
      </w:tr>
      <w:tr w:rsidR="00FC2EB4" w:rsidRPr="00FC2EB4" w:rsidTr="00D977A6">
        <w:trPr>
          <w:trHeight w:val="687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проведення публічних консультацій щоквартально (4 рази на рік)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проведення публічних консультацій щомісячно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Додайте, будь ласка, протокол/звіт за результатами проведених публічних консультацій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Представники різних суспільних груп населення, що проживають у громаді, входять до складу дорадчих органів.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відсутня залученість представників різних суспільних груп населення, що проживають у громаді до складу дорадчих органів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менше 25%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понад 25%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понад 50%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понад 75%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100% представників різних суспільних груп населення, що проживають у громаді до складу дорадчих органів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кількості та відсоткового коефіцієнту представників різних суспільних груп населення, що входять до складу дорадчих органів у Вашій громаді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діє програма/програми підтримки ініціатив мешканців (фінансування за кошти донорів проєктів МТД).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157C1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або ж активне посилання на таку програму/програми, а також документальне підтвердження результатів наданої підтримки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забезпечено опублікування річного звіту громади щодо бюджетування у відкритому доступі.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157C1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активне посилання на опублікований річний звіт Вашої громади щодо бюджетування у відкритому доступі (за попередній звітний період або за поточний у разі наявності). 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забезпечено проведення відкритих слухань громади щодо місцевих проєктів розвитку.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проводиться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1 відкрите слухання громади щодо місцевих проєктів розвитку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2-3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4-5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6-9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10 і більше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протокол/звіт за результатами проведення відкритих слухань громади щодо місцевих проєктів розвитку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Громада залучає зовнішнє фінансування, таке як гранти та пільгове фінансування від міжнародних партнерів.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громада не залучає зовнішнє фінансування таке як гранти та пільгове фінансування від міжнародних партнерів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вищевказане зовнішнє фінансування складає менше 25% від бюджету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вищевказане зовнішнє фінансування складає понад 25% від бюджету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 вищевказане зовнішнє фінансування складає понад 50% від бюджету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вищевказане зовнішнє фінансування складає понад 75% від бюджету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вищевказане зовнішнє фінансування складає 100% від бюджету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залучення зовнішнього фінансування, а також зазначте який відсоток від місцевого бюджету воно складає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 є наявними громадські організації, що займаються підтримкою осіб з інвалідністю.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немає наявних громадських організацій, що займаються підтримкою осіб з інвалідністю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наявна 1 громадська організація, що займається підтримкою осіб з інвалідністю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наявні 2-3 громадські організації, що займаються підтримкою осіб з інвалідністю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наявні 4-5 громадських організацій, що займаються підтримкою осіб з інвалідністю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наявні 6-9 громадських організацій, що займаються підтримкою осіб з інвалідністю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наявні 10 і більше громадських організацій, що займаються підтримкою осіб з інвалідністю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громадських організацій з назвами, що займаються підтримкою осіб з інвалідністю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інформацію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наявна місцева Рада безбарʼєрності та проводяться засідання протягом року.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відсутня Рада Безбар'єрності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протягом року (1 раз на рік)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2 рази на рік (раз на рів року)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3 рази на рік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д) </w:t>
            </w:r>
            <w:r w:rsidR="00FC2EB4" w:rsidRPr="00FF1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щоквартально (4 рази на рік)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засідань більше 4-х разів на рік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проведення місцевої Ради безбар'єрності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новину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 Стійкість громади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проводиться  щорічне громадське опитування щодо потреб мешканців.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157C1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посилання на результати проведеного щорічного громадського опитування щодо потреб мешканців у Вашій громаді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наявний власний план дій (план евакуації) на випадок надзвичайних ситуацій.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157C1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наявного власного плану дій Вашої громади (план евакуації) на випадок надзвичайних ситуацій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план дій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Різні суспільні групи населення, що проживають у громаді, включені у план дій громади на випадок надзвичайних ситуацій.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157C1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плану дій Вашої громади на випадок надзвичайних ситуацій, де включено різні суспільні групи населення, що проживають у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план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тренінги або навчання з безпеки життєдіяльності для мешканців (протягом року).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проводяться тренінги  або навчання з безпеки життєдіяльності для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1 тренінг та навчання з безпеки життєдіяльності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проводиться 2-3 тренінги та навчання з безпеки життєдіяльності на рік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проводиться 4-5 тренінгів та навчань з безпеки життєдіяльності на рік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6-9 тренінгів та навчань з безпеки життєдіяльності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регулярно проводиться 10 і більше тренінгів та навчань з безпеки життєдіяльності на рік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буль ласка, документальне підтвердження кількості проведених тренінгів або навчань з безпеки життєдіяльності для мешканців, що проводяться протягом року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Наявні договори/меморандуми з містами-побратимами (договори співпраці з іншим містом/містами).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157C1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договорів/меморандумів, а також документальне підтвердження їхньої наявності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забезпечено доступ до укриттів для осіб з порушеннями опорно-рухового апарату, зору, слуху.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відсутні забезпечені належним доступом укриття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доступом менше 25% укриттів для осіб з порушеннями опорно-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рухового апарату, зору, слуху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доступом понад 25%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доступом понад 50%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забезпечено доступом понад 75%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забезпечено доступом 100%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Вкажіть, будь ласка, загальну кількість облаштованих укриттів та надайте документальне підтвердження облаштувань (фотозвіт)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розміщена інформація про евакуацію в доступних форматах (проста (спрощена) мова, шрифт Брайля, відео з перекладом жестовою мовою тощо).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157C1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прикладів такого розміщення інформації у Вашій громаді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Громаду забезпечено соціальним житлом або доступними для оренди квартирами різні суспільні групи мешканців (особи старшого віку, ВПО, особи з інвалідністю) відповідно до визначених потреб.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 w:rsidRPr="00015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не забезпечено соціального житла або доступних для оренди квартир для різних суспільних груп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забезпечено менше 25% соціального житла або доступних для оренди квартир різні суспільні групи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забезпечено понад 25% соціального житла або доступних для оренди квартир різні суспільні групи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забезпечено понад 50% соціального житла або доступних для оренди квартир різні суспільні групи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забезпечено понад 75% соціального житла або доступних для оренди квартир різні суспільні групи населення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 у громаді забезпечено 100% соціального житла або доступних для оренди квартир різні суспільні групи населення (особи старшого віку, ВПО, особи з інвалідністю) відповідно до визначених потреб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Вкажіть, будь ласка, точну кількість такого житла, яким забезпечено різні соціальні групи населення (особи старшого віку, ВПО, особи з інвалідністю) відповідно до визначених потреб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реалізуються програми підтримки різних суспільних груп населення (особи старшого віку, ВПО, особи з інвалідністю).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програм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програми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Населення громади охоплено послугами первинної медичної допомоги, включно з населенням віддалених районів громади.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населення громади не охоплено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охоплено менше 25% населення громади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охоплено понад 25% населення громади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r w:rsidR="00FC2EB4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охоплено понад 50% населення громади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охоплено понад 75% населення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 у громаді охоплено 100% населення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відсоткового коефіцієнта охоплення населення громади послугами первинної медичної допомоги, включно з населенням віддалених районів Вашої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 громаді наявні відповідні інституції, що забезпечують інтереси осіб з різними функціональними порушеннями (центри підтримки, центри життєстійкості тощо).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- у громаді відсутні відповідні інституції, що забезпечують інтереси осіб з різними функціональними порушеннями (центри підтримки, центри життєстійкості тощо)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б) </w:t>
            </w:r>
            <w:r w:rsidR="00FC2EB4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B696A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послугами вищевказаних інституцій охоплено менше 25% населення громади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послугами вищевказаних інституцій охоплено понад 25% населення громади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послугами вищевказаних інституцій охоплено понад 50% населення громади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послугами вищевказаних інституцій охоплено понад 75% населення громади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послугами вищевказаних інституцій охоплено 100% населення громади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наявних відповідних інституцій, що забезпечують інтереси осіб з різними функціональними порушеннями (центри підтримки, центри життєстійкості тощо)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рівень безпеки в різних районах міста є приблизно однаковим.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746B0C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безпекової ситуації в різних районах міста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впроваджуються ініціативи сталого розвитку, які включено до стратегії громади.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D977A6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746B0C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ініціатив, а також документальне підтвердження їхньої наявності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663599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663599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 Освітня безбар'єрність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разі звернення батьків дитини з ООП або осіб, що їх замінюють, в громаді створюється інклюзивний клас.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 всі звернення ігноруються або залишаються без реагування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інклюзивні класи створюються в поодиноких випадках (менше 25% від поданих заяв)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інклюзивні класи створюються в понад 25% випадків від поданих заяв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інклюзивні класи створюються в понад 50% випадків від поданих заяв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інклюзивні класи створюються в понад 75% випадків від поданих заяв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r w:rsidR="00FC2EB4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інклюзивні класи створюються в 100% випадків від поданих заяв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розрахунку відсотків випадків відкриття інклюзивних класів за заявами ибатьків або осіб, що їх замінюють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Здобувачі освіти та їхні батьки (особи, що їх замінюють) поінформовані про право на інклюзивне навчання в громаді.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жодних інформаційних заходів  не проводиться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офіційна інформація відсутня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інформаційні заходи не охоплюють більшість здобувачів та їхніх батьків (менше 25%)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також можуть ьути випадки, коли реалізуються поодинокі заходи (наприклад, надсилається одне повідомлення на початку навчального року)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інформаційні заходи охоплюють понад 25% здобувачів освіти та їхніх батьків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заходи проводяться без системності (наприклад окрім повідомлень, також проводяться 1-2 очні зустрічі  або консультації в окремих класах протягом навчального року)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інформацію отримують більшість здобувачів освіти та їхніх батьків (понад 50%)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заходи реалізовуються, проте без охоплення всіх форм комунікації  (наприклад, 3-4 рази протягом навчального року проводяться особисті зустрічі, батьківські збори, вебінари)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інфомацією охоплено майже всіх здобувачів освіти та їхніх батьків (понад 75%)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реалізовано системне інформування (наприклад, через сайти, адміністрацію та педпрацівників закладів освіти (в т.ч. через месенджери), працівників ІРЦ (у разі зверення))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r w:rsidR="00FC2EB4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широке охоплення аудиторії (100 %)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реалізовано системне інформування (наприклад, через різні канали, регулярне оновлення, доступні консультації для батьків, також отримується зворотний зв’язок від батьків)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поінформованості здобувачів освіти та їхніх батьків (осіб, що їх замінюють) про право на інклюзивне навчання в громаді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школи/садочки доступні для дітей з порушеннями опорно-рухового апарату.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жоден заклад освіти не пристосований (відсутні пандуси, підйомники, широкі проходи)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окремі школи/садочки частково адаптовані, проте без системного підходу (менше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можливими є також випадки, при яких досить часто адаптації не відповідають вимогам або не підтримуються у справному стані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25% закладів освіти мають часткові адаптації, проте без системного підходу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можливими є також випадки, при яких алаптації не завжди відповідають вимогам або не підтримуються у справному стані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r w:rsidR="00FC2EB4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закладів освіти доступні для дітей з порушеннями ОРА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можливими є також випадки при яких можуть бути недоопрацьовані окремі елементи або незручна організація простору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закладів адаптовано комплексно (пандуси, підйомники, широкі проходи, доступні санвузли, наявна певна організація простору)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всі адаптації справні, ремонт та оновлення відбувається без затримок 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закладів забезпечено відповідною інфраструктурою, простір закладу логічно зоновано з урахуванням принципів універсального дизайну та розумного пристосування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при ремонтах і реконструкціях враховуються потреби всіх дітей з ООП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доступності шкіл/садочів для дітей з порушеннями опорно-рухового апарату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закладах освіти громади наявне кадрове забезпечення для навчання дітей з ООП.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кадрове забезпечення  для реалізації інклюзивного навчання відсутнє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заклади освіти забезпечені необхідними кадрами на рівні 25%  (наприклад, лище в окремих випадках призначено асистента дитини)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заклади освіти частково забезпечені кадрами (понад 25%) (напрклад, спостерігається нестача асистентів вчителя та дитини, велика плинність кадрів)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заклади освіти забезпечені кадрами на рівні понад 50% (напрклад, системна робота ведеться, але потребує розширення: не всі діти з ООП забезпечені супроводом)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кадрове забезпечення підтримується на рівні понад 75% (педагоги проходять навчання, є підтримка ІРЦ,  висока кадрова стабільність)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r w:rsidR="00FC2EB4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заклади на 100% кадрово забезпечений (напркилад, у громаді функціонує налагоджена модель кадрового супроводу, що включає асистентів, фахівців ІРЦ, системне навчання та заохочення педагогів)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кадрового забезпечення для навчання дітей з ООП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закладах освіти громади забезпечено дистанційну форму здобуття освіти.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відсутній будь-який доступ до дистанційного навчання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також можливим є варіант, коли в закладах освіти відсутня технічна та/або організаційна можливість організації дистанційного навчання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дистанційна освіта доступна лише вибірково (менше 25% учнів громади)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також можливим є варіант, коли відсутня технічна підтримка з боку закладу освіти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25% здобувачів мають можливість навчатися дистанційно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частково враховано потреби окремих груп, але відсутня універсальність рішень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учнів мають стабільний доступ до дистанційної форми освіти.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більшість педагогів забезпечують регулярну взаємодію, проте є технічні або організаційні прогалини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дистанційна освіта доступна переважно всім здобувачам освіти (понад 75%)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при організації дистанційного навчання враховано потреби дітей з ООП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r w:rsidR="00FC2EB4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дистанційна освіта доступна всім учням без виключення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забезпечено цифрову доступність, технічну підтримку, адаптацію матеріалів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забезпечення дистанційною освітою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відсутні випадки неохоплення загальною середньою освітою дітей шкільного віку.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випадки наявні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018B9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б) </w:t>
            </w:r>
            <w:r w:rsidR="00FC2EB4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випадки відсутні </w:t>
            </w:r>
            <w:r w:rsidR="00D977A6" w:rsidRPr="0074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D9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відсутності випадків неохоплення загальною середньою освітою дітей шкільного віку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вживаються заходи у випадку неохоплення загальною середньою освітою дітей шкільного віку.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діти, не охоплені шкільним начанням, не повертаються до навчання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жодних заходів не вживається або заходи виявляюються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неефективними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менше 25% дітей, не охоплених шкільним начанням, повертаються до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заходи проводяться рідко, без системності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25% не охоплених шкільним начанням, повертаються до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заходи вживаються фрагментарно, проте без системності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50% не охоплених шкільним начанням, повертаються до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заходи вживаються, проте можуть бути затримки чи прогалини в координації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72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д) </w:t>
            </w:r>
            <w:r w:rsidR="00FC2EB4" w:rsidRPr="00E672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75% не охоплених шкільним начанням,  повертаються до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 наявний чіткий алгоритм реагування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вживаються своєчасні та ефективні заходи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дітей, не охоплених шкільним навчанням, після вжиття заходів повертаються до навчання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розрахунку відсотків поверення до навчання дітей, не охоплених шкільним начанням, за результатами вжитих заходів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наявні програми неформальної освіти, доступні всім охочим.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E672B6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672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E672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E672B6" w:rsidRDefault="00FC2EB4" w:rsidP="00FC2E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наявності програм неформальної освіти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0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5. Суспільна безбар’єрність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не толеруються прояви дискримінації та діють ініціативи задля попередження дискримінації.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відсутні будь-які ініціативи, програми чи заходи щодо протидії дискримінації на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також можуть бути ситуації, коли зафіксовано випадки дискримінації, на які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відсутнє реагування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72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б) </w:t>
            </w:r>
            <w:r w:rsidR="00FC2EB4" w:rsidRPr="00E672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протягом року в громаді реалізовано не більше 1 ініціативи, програми чи заходу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відсутній інтерес або ініціатива з боку ОМС чи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реагування на випадки дискримінації є вибірковим або несвоєчасним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протягом року в громаді проведено 2-3 ініціативи, програми чи заходи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також можуть бути випадки, коли ініціативи реалізовуються переважно НУО  без підтримки місцевої влади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реагування на випадки дискримінації відбувається, проте воно несистемне</w:t>
            </w:r>
          </w:p>
        </w:tc>
      </w:tr>
      <w:tr w:rsidR="00FC2EB4" w:rsidRPr="00FC2EB4" w:rsidTr="00402B0B">
        <w:trPr>
          <w:trHeight w:val="742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протягом року реалізовано 4-5 ініціатив, програм чи заходиів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як правило, під час реалізації ініціатив організовано взаємодію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ОМС з громадськими організаціями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 громаді розроблено систему реагування на прояви дискримінації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реалізується щонайменше 6–9  ініціатив, програм чи заходів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місцева влада є активним учасником або ініціатором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 громаді розроблено систему реагування на прояви дискримінації та її попередження 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громаді діє понад 10 ініціатив, програм чи заходів з протидії дискримінації на рік, що охоплюють різні аудиторії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місцева влада є активним учасником або ініціатором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функціонує комплексна система регування на випалки дискримінації та протидії їй ( втому числі підтримка постраждалих)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кількості проведених ініціатив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Працівники органів місцевого самоврядування громади пройшли навчання на тему безбар’єрності та інклюзії.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працівники ОМС не проходили відповідне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навчання не проводилося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б) </w:t>
            </w:r>
            <w:r w:rsidR="00FC2EB4"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Низький рівень </w:t>
            </w:r>
            <w:r w:rsidR="00D977A6"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менше 25%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навчання епізодичне, без системного охоплення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результати навчання точково інтегруються в роботу ОМС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25%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навчання організовано з базових питань інклюзії та проводиться щороку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результати навчання поступово інтегруються в роботу ОМС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50%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є плановість у провденні щорічних начань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тематика безбар’єрності інтегрована у роботу ОМС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75%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є плановість та системність у провденні щорічних начань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тематика безбар’єрності інтегрована у роботу ОМС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100%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навчання є обов’язковим елементом щорічного підвищення кваліфікації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тематика безбар’єрності інтегрована у роботу ОМС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працівників, що пройшли відповідне навчання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на теми прав людини і рівних можливостей.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громаді не проводяться заходи на теми прав людини і рівних можливостей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можливі випадку, коли відсутній інтерес або ініціатива з боку ОМС чи громади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проведено не більше 1 заходу на рік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відсутній інтерес або ініціатива з боку ОМС чи громади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проведено 2–3 заходи на рік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можливі випадки, коли ініціативи реалізовуються переважно за підтримки НУО, без активної участі ОМС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реалізовано 4–5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частково залучені різні групи населення та представники ОМС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Вище середнього рівня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організовано 6–9 подій на рік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правилои, заходи реалізуються за активної участі ОМС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щорічно проводиться понад 10 тематичних заходів з прав людини і рівних можливостей– місцева влада є активним учасником або ініціатором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охоплено різні аудиторії: молодь, освітяни, працівники ОМС, жінки, люди з інвалідністю тощо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тема є інтегрованою у культурні, освітні та інформаційні політики громади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кількості проведених заходів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та культурні події, важливі для різних суспільних груп населення.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жодні заходи та культурні події, важливі для різних суспільних груп населення громади, протягом року не проводилися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не більше 1-го заходу та культурної події, важливої для різних груп населення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можуть бути випалки, коли доступність або інклюзивність такого заходу та події є недостатньою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2–3 заходи та культурні події на рік орієнтовані на потреби різних суспільних груп населення громади (наприклад, людей старшого віку або дітей)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можуть бути випадки, коли доступність або інклюзивність таких заходів та подій є недостатньою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r w:rsidR="00FC2EB4"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4–5 заходів чи культурних подій, важливих для різних суспільних груп населення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події перважно враховують потреби відвідувачів у доступності та безбар’єрності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6–9 заходів чи культурних подій щороку, важливих для різних суспільних груп населення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події адаптовано до потреб маломобільних осіб, сімей з дітьми, ветеранів, молоді тощо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протягом року продиться понад 10 заходів та культурних подій щорічно, важливих для різних суспільних груп населення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події адаптовано до потреб маломобільних осіб, сімей з дітьми, ветеранів, молоді тощо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кількості проведених заходів та культурних подій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місця для вільного зібрання мешканців  (зокрема соціальні клуби, паркові зони, коворкінги, центри громадської участі, ветеранські хаби, бібліотеки тощо).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місця для зібрань майже відсутні або існують формально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менше 10% на кожні 10 тис. наслення громади має доступ до таких просторів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 не забезпечена достпність таких просторів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менше 25% на кожні 10 тис. населення громади має доступ до місць для вільного зібрання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наявні лише поодинокі об’єкти, які не охоплюють основні групи населення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забезпечена часткова достпність таких просторів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25% на кожні 10 тис. мешканців громади мають доступ до таких місць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інфраструктура фрагментарна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прааивло, деякі простори не відповідають базовим умовам доступності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r w:rsidR="00FC2EB4"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 на кожні 10 тис. мешканців громади  мають доступ до місць для зібрань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можуть бути випадки, коли протори не рівномірно розподілені між населеними пунктами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наявна базова доступність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 4 бали)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на кожні 10 тис. мешканців громади  мають доступ до місць для зібрань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різноманітні формати локацій (від бібліотек до відкритих просторів), адаптовані під різні групи населення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забезпечено комплексну доступність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 на кожні 10 тис. мешканців громади мають доступ до зручних місць для зібрань у межах пішої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мережа просторів різноманітна, охоплює інтереси й потреби різних вікових, соціальних і суспільних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простори активно використовуються, підтримуються, забезпечені комплексними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умовами доступності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розрахунку відсотків забезпечення населення громади (на кожні 10 000) місць для вільного зібрання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наявні ініціативи, що підтримують міжпоколіннєвий або міжкультурний діалог та обмін досвідом.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 громаді не проводяться заходи чи ініціативи, спрямовані на діалог між поколіннями або культурами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відсутні можливості для взаємодії людей різного віку, походження чи досвіду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реалізовано не більше 1 ініціативи на рік, що об’єднують молодь та людей старшого віку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не залучено більше однієї групи (наприклад, лише молодь)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403C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2-3 ініціативи щороку, що об’єднують молодь та людей старшого віку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залучено декілька груп (наприклад, молодь та особи старшого віку)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4–5 ініціатив щороку, що об’єднують молодь та людей старшого віку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залучено декілька груп (наприклад, молодь та особи старшого віку)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6–9 регулярних ініціатив у партнерстві з ОМС або за її підтримки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відбувається взаємодія між поколіннями, мешканцями з різними походженням, культурою тощо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реалізується понад 10 ініціатив або програм щорічно, що охоплюють міжпоколіннєвий та міжкультурний обмін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міжпоколіннєвий або міжкультурний діалог та обмін досвідом є інтегрованим елементом освітніх, культурних та соціальних стратегій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кількості наявних ініціатив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6. Інклюзивні послуги та сервіси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наявна можливість запису на прийом щодо отримання необхідних послуг онлайн або з використанням спеціальних додатків у смартфонах, що допомагає уникнути складних процедур запису для осіб з інвалідністю та інших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суспільних груп населення.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повністю відсутній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менше, ніж 25% основних послуг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понад 25 % послуг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можуть бути випадки, коли сервіс працює нестабільно або незручно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понад 50% послуг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сервіси працюють та передбачено базову зручність для різних суспільних груп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понад 75% послуг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правило,ервіси працюють та їхгій інтерфейс враховує потреби осіб з інвалідністю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послуг мають онлайн-запис або запис через додатки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сервіси є доступними, зручними, адаптованими для різних суспільних груп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розрахунку відсотків послуг, для яких доступним є запис онлайн або з використанням спеціальних додатків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інформація про сервіси/послуги/події дублюється шрифтом Брайля, жестовою мовою, простою (спрощеною) мовою та доступна в онлайн форматі.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Не забезпечено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D018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інформація не дублюється жодним альтернативним способом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альтернативне дублювання охоплює менше 25% ключової інформації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реалізується несистемно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дублювання альтернативним способом здійснюється для понад 25% інформації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присутні лише окремі формати (наприклад, онлайн або жестова мова)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понад 50% інформації дублюється альтернативним способом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праивло, використовуються щонайменше два альтернативні формати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інформації дублюється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інформація доступна для різних груп (з порушеннями зору, слуху, когнітивними порушеннями)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інформації дублюється у доступних форматах: Брайль, жестова мова, проста (спрощена) мова, онлайн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використовується багатоканальне інформування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підтвердження розрахунку відсотків сервісів/послуг/подій, про які інформація дублюється шрифтом Брайля, жестовою мовою, спрощеною мовою або онлайн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інформація про послуги є доступною в зручних форматах.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ні, інформацію про жодну послугу не можна отримати у зручному форматі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</w:t>
            </w:r>
            <w:r w:rsidR="00D018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так, інформацію про окремі послуги можна отримати у зручному форматі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те, що у громаді інформація про послуги регулярно оновлюється і є доступною в зручних форматах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послуги надаються дистанційно (телефоном, онлайн), якщо це необхідно.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ні, відсутня можливість отримати жодну послугу дистанційно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1B405B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б) </w:t>
            </w:r>
            <w:r w:rsidR="00FC2EB4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так, є можливість отримати окремі види послуг дистанційно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те, що у громаді послуги надаються також дистанційно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надається послуга перекладача жестової мови або супроводу за запитом.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те, що у громаді надається послуга перекладача жестової мови або супроводу за запитом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наявна можливість отримати супровід або допомогу при оформленні документів.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те, що у громаді наявна можливість отримати супровід або допомогу при оформленні документів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віддалених районах громади надається мобільна допомога/виїзні бригади медичних або соціальних працівників.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D977A6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мобільна допомога або виїзні бригади взагалі не функціонують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відсутня реакція на виклики або виклики ігноруються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виїзди здійснюються рідко: менше ніж 1 раз на місяць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виклики часто залишаються без реагування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виїзди здійснюються не рідше 1 раз на місяць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бригади не завжди доїжджають до всіх заявлених локацій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r w:rsidR="00FC2EB4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виїзди здійснюються не рідше 1 разу на 2 тижні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бригади доїзжджають із затримками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бригади здійснюють виїзди щотижня або частіше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є чіткий графік виїздів та можливість реагування на екстрені запити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доступності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виїзди відбуваються регулярно та за потреби, включаючи екстрені виклики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забезпечено оперативне реагування протягом 24 годин після звернення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кількість виїздів та оперативність реагування мобільної допомоги/виїзних бригад медичних або соціальних працівників у віддалених районах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663599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663599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7. Цифрова безбар'єрність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Громада має сайт або онлайн-портал, доступний для людей з порушенням зору/слуху.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D977A6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посилання на такий </w:t>
            </w:r>
            <w:r w:rsid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веб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сайт або онлайн-портал у Вашій громаді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можна оформити необхідні документи онлайн без необхідності відвідування адміністративних будівель особисто.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такий онлайн-ресурс або документальне підтвердження такого функціоналу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створено мобільний додаток для інформування щодо забезпечення потреб громади, а також забезпечено його адаптацію для різних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такий додаток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різних сусіпльних груп забезпечено безбар’єрний доступ до електронних публічних послуг.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онлайн ресурс з безбар’єрним доступом до електронних публічних послуг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аді для різних сусіпльних груп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забезпечено безбар’єрний доступ до публічної інформації органів владних повноважень.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D977A6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онлайн-ресурс з безбар’єрним доступом до публічної інформації органів владних повноважень Вашої громади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аді для різних сусіпльних груп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забезпечено безбар’єрний доступ до аудіовізуальних та друкованих медіа.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B405B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онлайн-ресурс або ж документальне підтвердження безбар’єрного доступу до аудіовізуальних та друкованих медіа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різних сусіпльних груп забезпечено безбар’єрний доступ до швидкісного інтернету.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  <w:bookmarkStart w:id="0" w:name="_GoBack"/>
            <w:bookmarkEnd w:id="0"/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відсутнє забезпечення безбар’єрним доступом до швидкісного інтернету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менше 25%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понад 25%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понад 50%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д) </w:t>
            </w:r>
            <w:r w:rsidR="00FC2EB4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понад 75% мешканців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забезпечено безбар'єрним доступом до швидкісного інтернету 100% мешканців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підтвердження забезпечення безбар’єрного доступу до швидкісного інтернету різних суспільних груп Вашої громади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різних суспільних груп забезпечено безбар’єрний доступ до отримання цифрових знань та навичок.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відсутнє забезпечення безбар’єрним доступом до отримання цифрових знань та навичок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менше 25%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Рівень нижче середнього  </w:t>
            </w:r>
            <w:r w:rsidR="00D977A6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понад 25%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понад 50%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забезпечено безбар’єрним доступом до отримання цифрових знань та навичок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понад 75% мешканців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100% мешканців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 документальне підтвердження забезпечення мешканців Вашої громади безбар’єрним доступом до отримання цифрових знань та навичок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із підвищення цифрової грамотності різних суспільних груп мешканців (протягом року). </w:t>
            </w:r>
            <w:r w:rsidR="00F32940" w:rsidRPr="00663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проводяться заходи із підвищення цифрової грамотності для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б) </w:t>
            </w:r>
            <w:r w:rsidR="00FC2EB4" w:rsidRPr="001B40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B9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1 захід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2-3 заходи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4-5 заходів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6-9 заходів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регулярно проводиться 10 і більше заходів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Надайте,будь ласка, документальне підтвердження проведених заходів із підвищення цифрової грамотності для мешканців Вашої громади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663599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663599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8. Економічна безбар'єрність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враховуються потреби осіб з інвалідністю при працевлаштуванні у структурах органів місцевого самоврядування.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5D2CC5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того, як враховуються потреби осіб з інвалідністю при працевлаштуванні у структурах органів місцевого самоврядування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 на звіт)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діють програми допомоги у працевлаштуванні осіб з інвалідністю.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5D2CC5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D977A6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програм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 на програми)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 наявні програми підтримки місцевого бізнесу або самозайнятості, зокрема для підтримки різних суспільних груп громади (особи старшого віку, ВПО, особи з інвалідністю).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5D2CC5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A67F90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програм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 на програми)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межах громади або поблизу забезпечено наявність філії чинної служби зайнятості.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5D2CC5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так </w:t>
            </w:r>
            <w:r w:rsidR="00D977A6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наявності філії чинної служби зайнятості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проведення відповідних освітніх заходів (курсів/тренінгів/навчальних програм підвищення кваліфікації, перекваліфікації, покращення навичок тощо) забезпечених доступністю для різних суспільних груп населення громади щорічно.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проводяться вищевказані освітні заходи забезпечені доступністю для різних суспільних груп населення громади щорічно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1 вищевказаний освітній захід забезпечений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r w:rsidR="00FC2EB4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D2CC5" w:rsidRPr="00FB69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2-3 вищевказані освітні заходи забезпечені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4-5 вищевказаних освітніх заходів забезпечених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6-9 вищевказаних освітніх заходів забезпечених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регулярно проводиться більше 10 вищевказаних освітніх заходів забезпечених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підтвердження кількості проведених заходів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доступ та інформування щодо наявних програм отримання грантів/субсидій для працевлаштування різних суспільних груп населення (особи старшого віку, ВПО, особи з інвалідністю).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5D2CC5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A67F90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D977A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Надайте, будь ласка, документальне підтвердження забезпеченого доступу та інформування щодо наявних програм отримання грантів/субсидій для працевлаштування різних суспільних груп Вашої громади (особи старшого віку, ВПО, особи з інвалідністю)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доступні високоякісні робочі місця для різних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5D2CC5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A67F90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наявних доступних високоякісних робочих місць для різних суспільних груп мешканців Вашої громади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надаються мікрокредити та/або інша підтримка підприємництва для різних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5D2CC5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A67F90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Надайте, будь ласка, документальне підтвердження надання мікрокредитів та/або іншої пітримки підприємництва різним суспільним групам мешканців Вашої громади</w:t>
            </w:r>
            <w:r w:rsidR="00A67F90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 (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A67F90" w:rsidRPr="00663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діють програми підтримки жінок-підприємиць.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5D2CC5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ні </w:t>
            </w:r>
            <w:r w:rsidR="00A67F90" w:rsidRPr="005D2C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програм підтримки жінок-підприємиць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 (посилання на перелік програм)</w:t>
            </w:r>
          </w:p>
        </w:tc>
      </w:tr>
    </w:tbl>
    <w:p w:rsidR="00FC2EB4" w:rsidRDefault="00FC2EB4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90" w:rsidRPr="00D977A6" w:rsidRDefault="005D2CC5" w:rsidP="00A67F9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«  05  </w:t>
      </w:r>
      <w:r w:rsidR="00D977A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серпня  2025</w:t>
      </w:r>
      <w:r w:rsidR="00D977A6">
        <w:rPr>
          <w:rFonts w:ascii="Times New Roman" w:hAnsi="Times New Roman" w:cs="Times New Roman"/>
          <w:sz w:val="28"/>
          <w:szCs w:val="28"/>
        </w:rPr>
        <w:t xml:space="preserve"> р</w:t>
      </w:r>
      <w:r w:rsidR="00A67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977A6" w:rsidRPr="00D977A6" w:rsidRDefault="00D977A6" w:rsidP="00D977A6">
      <w:pPr>
        <w:spacing w:after="0"/>
        <w:ind w:left="6663"/>
        <w:rPr>
          <w:rFonts w:ascii="Times New Roman" w:hAnsi="Times New Roman" w:cs="Times New Roman"/>
          <w:sz w:val="18"/>
          <w:szCs w:val="18"/>
        </w:rPr>
      </w:pPr>
    </w:p>
    <w:sectPr w:rsidR="00D977A6" w:rsidRPr="00D977A6" w:rsidSect="00A67F90">
      <w:headerReference w:type="default" r:id="rId7"/>
      <w:pgSz w:w="12240" w:h="15840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777" w:rsidRDefault="00F45777" w:rsidP="00A67F90">
      <w:pPr>
        <w:spacing w:after="0" w:line="240" w:lineRule="auto"/>
      </w:pPr>
      <w:r>
        <w:separator/>
      </w:r>
    </w:p>
  </w:endnote>
  <w:endnote w:type="continuationSeparator" w:id="0">
    <w:p w:rsidR="00F45777" w:rsidRDefault="00F45777" w:rsidP="00A6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777" w:rsidRDefault="00F45777" w:rsidP="00A67F90">
      <w:pPr>
        <w:spacing w:after="0" w:line="240" w:lineRule="auto"/>
      </w:pPr>
      <w:r>
        <w:separator/>
      </w:r>
    </w:p>
  </w:footnote>
  <w:footnote w:type="continuationSeparator" w:id="0">
    <w:p w:rsidR="00F45777" w:rsidRDefault="00F45777" w:rsidP="00A6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75670992"/>
      <w:docPartObj>
        <w:docPartGallery w:val="Page Numbers (Top of Page)"/>
        <w:docPartUnique/>
      </w:docPartObj>
    </w:sdtPr>
    <w:sdtContent>
      <w:p w:rsidR="00FB696A" w:rsidRPr="00A67F90" w:rsidRDefault="00FB696A">
        <w:pPr>
          <w:pStyle w:val="a4"/>
          <w:jc w:val="center"/>
          <w:rPr>
            <w:rFonts w:ascii="Times New Roman" w:hAnsi="Times New Roman" w:cs="Times New Roman"/>
          </w:rPr>
        </w:pPr>
        <w:r w:rsidRPr="00A67F90">
          <w:rPr>
            <w:rFonts w:ascii="Times New Roman" w:hAnsi="Times New Roman" w:cs="Times New Roman"/>
          </w:rPr>
          <w:fldChar w:fldCharType="begin"/>
        </w:r>
        <w:r w:rsidRPr="00A67F90">
          <w:rPr>
            <w:rFonts w:ascii="Times New Roman" w:hAnsi="Times New Roman" w:cs="Times New Roman"/>
          </w:rPr>
          <w:instrText>PAGE   \* MERGEFORMAT</w:instrText>
        </w:r>
        <w:r w:rsidRPr="00A67F90">
          <w:rPr>
            <w:rFonts w:ascii="Times New Roman" w:hAnsi="Times New Roman" w:cs="Times New Roman"/>
          </w:rPr>
          <w:fldChar w:fldCharType="separate"/>
        </w:r>
        <w:r w:rsidR="002108BD" w:rsidRPr="002108BD">
          <w:rPr>
            <w:rFonts w:ascii="Times New Roman" w:hAnsi="Times New Roman" w:cs="Times New Roman"/>
            <w:noProof/>
            <w:lang w:val="ru-RU"/>
          </w:rPr>
          <w:t>2</w:t>
        </w:r>
        <w:r w:rsidRPr="00A67F90">
          <w:rPr>
            <w:rFonts w:ascii="Times New Roman" w:hAnsi="Times New Roman" w:cs="Times New Roman"/>
          </w:rPr>
          <w:fldChar w:fldCharType="end"/>
        </w:r>
      </w:p>
    </w:sdtContent>
  </w:sdt>
  <w:p w:rsidR="00FB696A" w:rsidRDefault="00FB69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EB4"/>
    <w:rsid w:val="000138C6"/>
    <w:rsid w:val="000157C1"/>
    <w:rsid w:val="0003699E"/>
    <w:rsid w:val="000774B0"/>
    <w:rsid w:val="00091DAD"/>
    <w:rsid w:val="001B405B"/>
    <w:rsid w:val="002108BD"/>
    <w:rsid w:val="002E6AD9"/>
    <w:rsid w:val="003B7B00"/>
    <w:rsid w:val="00402B0B"/>
    <w:rsid w:val="00403CD8"/>
    <w:rsid w:val="004B0966"/>
    <w:rsid w:val="004D709F"/>
    <w:rsid w:val="005D2CC5"/>
    <w:rsid w:val="00621A47"/>
    <w:rsid w:val="00663599"/>
    <w:rsid w:val="00746B0C"/>
    <w:rsid w:val="0079274B"/>
    <w:rsid w:val="00866B21"/>
    <w:rsid w:val="00894D40"/>
    <w:rsid w:val="00A67F90"/>
    <w:rsid w:val="00AD5B45"/>
    <w:rsid w:val="00B20385"/>
    <w:rsid w:val="00B42F07"/>
    <w:rsid w:val="00D018B9"/>
    <w:rsid w:val="00D82CF6"/>
    <w:rsid w:val="00D977A6"/>
    <w:rsid w:val="00E51703"/>
    <w:rsid w:val="00E672B6"/>
    <w:rsid w:val="00E84C37"/>
    <w:rsid w:val="00ED13A2"/>
    <w:rsid w:val="00F32940"/>
    <w:rsid w:val="00F45777"/>
    <w:rsid w:val="00F50873"/>
    <w:rsid w:val="00F54DD4"/>
    <w:rsid w:val="00FB696A"/>
    <w:rsid w:val="00FC2EB4"/>
    <w:rsid w:val="00FF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2">
    <w:name w:val="Grid Table 1 Light Accent 2"/>
    <w:basedOn w:val="a1"/>
    <w:uiPriority w:val="46"/>
    <w:rsid w:val="00FC2E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FC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F90"/>
    <w:rPr>
      <w:lang w:val="uk-UA"/>
    </w:rPr>
  </w:style>
  <w:style w:type="paragraph" w:styleId="a6">
    <w:name w:val="footer"/>
    <w:basedOn w:val="a"/>
    <w:link w:val="a7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F90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9C98-791D-484F-A37E-38CAB390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11224</Words>
  <Characters>63979</Characters>
  <Application>Microsoft Office Word</Application>
  <DocSecurity>0</DocSecurity>
  <Lines>533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qaz</cp:lastModifiedBy>
  <cp:revision>6</cp:revision>
  <dcterms:created xsi:type="dcterms:W3CDTF">2025-08-01T09:49:00Z</dcterms:created>
  <dcterms:modified xsi:type="dcterms:W3CDTF">2025-08-05T09:04:00Z</dcterms:modified>
</cp:coreProperties>
</file>